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6E" w:rsidRDefault="00BA0F6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Source référentiel et </w:t>
      </w:r>
      <w:r w:rsidRPr="00923359">
        <w:rPr>
          <w:b/>
          <w:color w:val="FF0000"/>
          <w:sz w:val="40"/>
          <w:szCs w:val="40"/>
        </w:rPr>
        <w:t>recommandations académiques</w:t>
      </w:r>
      <w:r>
        <w:rPr>
          <w:b/>
          <w:sz w:val="40"/>
          <w:szCs w:val="40"/>
        </w:rPr>
        <w:t>.</w:t>
      </w:r>
    </w:p>
    <w:p w:rsidR="00923359" w:rsidRPr="00923359" w:rsidRDefault="00923359" w:rsidP="00923359">
      <w:pPr>
        <w:jc w:val="both"/>
        <w:rPr>
          <w:b/>
        </w:rPr>
      </w:pPr>
      <w:r w:rsidRPr="00923359">
        <w:rPr>
          <w:b/>
        </w:rPr>
        <w:t xml:space="preserve">Sous-épreuve de technologie (coefficient 2) E12 – Sous-épreuve de sciences appliquées (coefficient 2)  </w:t>
      </w:r>
    </w:p>
    <w:p w:rsidR="00923359" w:rsidRDefault="00923359" w:rsidP="00923359">
      <w:pPr>
        <w:jc w:val="both"/>
      </w:pPr>
      <w:r>
        <w:t xml:space="preserve">Objectifs et contenu des sous-épreuves E11 et E12 </w:t>
      </w:r>
    </w:p>
    <w:p w:rsidR="00923359" w:rsidRDefault="00923359" w:rsidP="00923359">
      <w:pPr>
        <w:jc w:val="both"/>
      </w:pPr>
      <w:r>
        <w:t>Chaque sous-épreuve évalue dans le domaine qui la concerne, les savoirs associés aux pôles de compétences professionnelles constitutifs du référentiel de certification. Les deux sous-épreuves se réfèrent à un contexte professionnel pouvant êtr</w:t>
      </w:r>
      <w:r>
        <w:t>e commun (qui peut être un con</w:t>
      </w:r>
      <w:r>
        <w:t xml:space="preserve">cept de restauration et/ou des problématiques professionnelles) et prennent </w:t>
      </w:r>
      <w:r>
        <w:t>appui sur des supports documen</w:t>
      </w:r>
      <w:r>
        <w:t xml:space="preserve">taires professionnels.  </w:t>
      </w:r>
    </w:p>
    <w:p w:rsidR="00923359" w:rsidRPr="00923359" w:rsidRDefault="00923359" w:rsidP="00923359">
      <w:pPr>
        <w:jc w:val="both"/>
        <w:rPr>
          <w:b/>
        </w:rPr>
      </w:pPr>
      <w:r w:rsidRPr="00923359">
        <w:rPr>
          <w:b/>
        </w:rPr>
        <w:t xml:space="preserve">Critères d’évaluation L’évaluation prend en compte : </w:t>
      </w:r>
    </w:p>
    <w:p w:rsidR="00923359" w:rsidRDefault="00923359" w:rsidP="00923359">
      <w:pPr>
        <w:jc w:val="both"/>
      </w:pPr>
      <w:r>
        <w:t>- l’aptitude à tirer parti d’une situation professionnelle</w:t>
      </w:r>
      <w:r w:rsidR="005C5ABC">
        <w:t xml:space="preserve"> et d’une documentation fournie</w:t>
      </w:r>
      <w:bookmarkStart w:id="0" w:name="_GoBack"/>
      <w:bookmarkEnd w:id="0"/>
      <w:r>
        <w:t xml:space="preserve"> - la pertinence des réponses - l’exactitude des connaissances technologiques et de sciences appliquées - la qualité de la réflexion et de l’argumentation Elle est réalisée par un enseignant de technologie professionnelle et un enseignant de sciences appliquées.   </w:t>
      </w:r>
    </w:p>
    <w:p w:rsidR="00923359" w:rsidRPr="00923359" w:rsidRDefault="00923359" w:rsidP="00923359">
      <w:pPr>
        <w:jc w:val="both"/>
        <w:rPr>
          <w:u w:val="single"/>
        </w:rPr>
      </w:pPr>
      <w:r w:rsidRPr="00923359">
        <w:rPr>
          <w:u w:val="single"/>
        </w:rPr>
        <w:t xml:space="preserve">Modes d’évaluation </w:t>
      </w:r>
    </w:p>
    <w:p w:rsidR="00923359" w:rsidRDefault="00923359" w:rsidP="00923359">
      <w:pPr>
        <w:jc w:val="both"/>
      </w:pPr>
      <w:r>
        <w:t xml:space="preserve">a) </w:t>
      </w:r>
      <w:r w:rsidRPr="00923359">
        <w:rPr>
          <w:b/>
        </w:rPr>
        <w:t>Forme ponctuelle</w:t>
      </w:r>
      <w:r>
        <w:t xml:space="preserve"> Sous-épreuve de technologie (E 11) : durée une heure. Coefficient 2. Sous-épreuve de sciences appliquées (E12) : durée une heure. Coefficient 2.  </w:t>
      </w:r>
    </w:p>
    <w:p w:rsidR="00923359" w:rsidRDefault="00923359" w:rsidP="00923359">
      <w:pPr>
        <w:jc w:val="both"/>
      </w:pPr>
      <w:r>
        <w:t xml:space="preserve">Les deux sous-épreuves sont écrites. Elles s’appuient sur un support commun consistant en une étude de cas. Cette étude de cas fait référence à un contexte professionnel mettant en jeu des connaissances technologiques et de sciences appliquées. Le candidat est invité à répondre à des questions relatives au cas proposé. </w:t>
      </w:r>
    </w:p>
    <w:p w:rsidR="00923359" w:rsidRDefault="00923359" w:rsidP="00923359">
      <w:pPr>
        <w:jc w:val="both"/>
      </w:pPr>
      <w:r>
        <w:t xml:space="preserve">Spécialité Commercialisation et services en restauration </w:t>
      </w:r>
      <w:r>
        <w:t xml:space="preserve">du baccalauréat professionnel </w:t>
      </w:r>
    </w:p>
    <w:p w:rsidR="00923359" w:rsidRDefault="00923359" w:rsidP="00923359">
      <w:pPr>
        <w:jc w:val="both"/>
      </w:pPr>
      <w:r>
        <w:t xml:space="preserve">b) </w:t>
      </w:r>
      <w:r w:rsidRPr="00923359">
        <w:rPr>
          <w:b/>
        </w:rPr>
        <w:t>Contrôle en cours de formation (CCF)</w:t>
      </w:r>
      <w:r>
        <w:t xml:space="preserve">  Il prend la forme de deux situations d’évaluation écrites, organisées dans l’établissement de formation dans le cadre habituel des séances d’enseignement. Chaque situation permet d’évaluer à la fois la sous-épreuve de technologie et la sous-épreuve de sciences appliquées.  </w:t>
      </w:r>
    </w:p>
    <w:p w:rsidR="00923359" w:rsidRDefault="00923359" w:rsidP="00923359">
      <w:pPr>
        <w:jc w:val="both"/>
      </w:pPr>
      <w:r>
        <w:t xml:space="preserve">Les candidats sont informés préalablement de l’évaluation et de ses objectifs.  </w:t>
      </w:r>
      <w:r w:rsidRPr="00923359">
        <w:rPr>
          <w:color w:val="FF0000"/>
        </w:rPr>
        <w:t>(Il est nécessaire de les prévenir au moins un mois à l’avance : 6 à 8 thèmes peuvent être abordés. Les candidats doivent être informés des thèmes. L’épreuve de gestion et de technologie peuvent se dérouler en même temps. )</w:t>
      </w:r>
    </w:p>
    <w:p w:rsidR="00923359" w:rsidRDefault="00923359" w:rsidP="00923359">
      <w:pPr>
        <w:jc w:val="both"/>
      </w:pPr>
      <w:r>
        <w:t xml:space="preserve">Les deux situations d’évaluation sont conçues en fonction des acquis des candidats. Leur contenu porte sur des savoirs complémentaires.  </w:t>
      </w:r>
    </w:p>
    <w:p w:rsidR="00923359" w:rsidRPr="00923359" w:rsidRDefault="00923359" w:rsidP="00923359">
      <w:pPr>
        <w:jc w:val="both"/>
        <w:rPr>
          <w:u w:val="single"/>
        </w:rPr>
      </w:pPr>
      <w:r w:rsidRPr="00923359">
        <w:rPr>
          <w:u w:val="single"/>
        </w:rPr>
        <w:t xml:space="preserve">Déroulement des situations d’évaluation  </w:t>
      </w:r>
    </w:p>
    <w:p w:rsidR="00923359" w:rsidRDefault="00923359" w:rsidP="00923359">
      <w:pPr>
        <w:jc w:val="both"/>
      </w:pPr>
      <w:r>
        <w:t>Chaque situation porte sur une étude de cas mettant en jeu les domaines de te</w:t>
      </w:r>
      <w:r>
        <w:t>chnologie et de sciences appli</w:t>
      </w:r>
      <w:r>
        <w:t xml:space="preserve">quées, à partir d’un contexte professionnel. Le candidat est invité à répondre à des questions relatives au cas proposé.  </w:t>
      </w:r>
    </w:p>
    <w:p w:rsidR="00923359" w:rsidRDefault="00923359" w:rsidP="00923359">
      <w:pPr>
        <w:jc w:val="both"/>
      </w:pPr>
      <w:r>
        <w:t xml:space="preserve">La première situation d’évaluation, d’une durée maximale de deux heures, a lieu avant la fin du premier se- mestre de la classe de première professionnelle. L’évaluation de la technologie et l’évaluation des sciences appliquées sont notées chacune sur 20 points.  </w:t>
      </w:r>
    </w:p>
    <w:p w:rsidR="00BA0F6E" w:rsidRDefault="00923359" w:rsidP="00923359">
      <w:pPr>
        <w:jc w:val="both"/>
      </w:pPr>
      <w:r>
        <w:lastRenderedPageBreak/>
        <w:t>La deuxième situation d’évaluation, d’une durée maximale de deux heures, a lieu au cours du deuxième se- mestre de la classe de terminale professionnelle. L’évaluation de la technologie et l’évaluation des sciences appliquées sont notées chacune sur 20 points</w:t>
      </w:r>
    </w:p>
    <w:sectPr w:rsidR="00BA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6E"/>
    <w:rsid w:val="005C5ABC"/>
    <w:rsid w:val="00923359"/>
    <w:rsid w:val="00BA0F6E"/>
    <w:rsid w:val="00E4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34397-182D-4D92-B004-6FAF2920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pinot</dc:creator>
  <cp:keywords/>
  <dc:description/>
  <cp:lastModifiedBy>astrid pinot</cp:lastModifiedBy>
  <cp:revision>2</cp:revision>
  <dcterms:created xsi:type="dcterms:W3CDTF">2014-01-12T10:37:00Z</dcterms:created>
  <dcterms:modified xsi:type="dcterms:W3CDTF">2014-01-12T10:54:00Z</dcterms:modified>
</cp:coreProperties>
</file>