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76" w:rsidRDefault="00E17376" w:rsidP="00E17376">
      <w:pPr>
        <w:pageBreakBefore/>
        <w:tabs>
          <w:tab w:val="left" w:pos="686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</w:rPr>
        <w:t>L’organisation judiciaire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/>
          <w:bCs/>
        </w:rPr>
      </w:pPr>
    </w:p>
    <w:p w:rsidR="00E17376" w:rsidRDefault="002C1929" w:rsidP="00E17376">
      <w:pPr>
        <w:tabs>
          <w:tab w:val="left" w:pos="686"/>
        </w:tabs>
        <w:rPr>
          <w:rFonts w:ascii="Calibri" w:hAnsi="Calibri" w:cs="Calibri"/>
          <w:b/>
          <w:bCs/>
        </w:rPr>
      </w:pPr>
      <w:r w:rsidRPr="002C1929">
        <w:rPr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2.9pt;margin-top:2.75pt;width:159.1pt;height:23.75pt;z-index:251663360;mso-wrap-style:none">
            <v:shadow on="t" opacity=".5" offset="-6pt,-6pt"/>
            <v:textbox>
              <w:txbxContent>
                <w:p w:rsidR="00E17376" w:rsidRDefault="00E17376" w:rsidP="00E17376">
                  <w:pPr>
                    <w:rPr>
                      <w:noProof/>
                    </w:rPr>
                  </w:pPr>
                  <w:r>
                    <w:rPr>
                      <w:rFonts w:ascii="Calibri" w:hAnsi="Calibri" w:cs="Calibri"/>
                    </w:rPr>
                    <w:t xml:space="preserve">Principe </w:t>
                  </w:r>
                  <w:r>
                    <w:rPr>
                      <w:rFonts w:ascii="Calibri" w:hAnsi="Calibri" w:cs="Calibri"/>
                      <w:b/>
                    </w:rPr>
                    <w:t>d’audience publique</w:t>
                  </w:r>
                </w:p>
              </w:txbxContent>
            </v:textbox>
            <w10:wrap type="square"/>
          </v:shape>
        </w:pict>
      </w:r>
      <w:r w:rsidRPr="002C1929">
        <w:rPr>
          <w:lang w:eastAsia="ar-SA"/>
        </w:rPr>
        <w:pict>
          <v:oval id="_x0000_s1026" style="position:absolute;margin-left:41.25pt;margin-top:9.75pt;width:171pt;height:35.25pt;z-index:251660288" fillcolor="black" stroked="f">
            <v:shadow on="t" type="double" opacity=".5" color2="shadow add(102)" offset="-3pt,-3pt" offset2="-6pt,-6pt"/>
          </v:oval>
        </w:pict>
      </w:r>
      <w:r w:rsidRPr="002C1929">
        <w:rPr>
          <w:lang w:eastAsia="ar-SA"/>
        </w:rPr>
        <w:pict>
          <v:shape id="_x0000_s1031" type="#_x0000_t202" style="position:absolute;margin-left:27.75pt;margin-top:2pt;width:112.05pt;height:24.5pt;z-index:251665408;mso-wrap-style:none">
            <v:shadow on="t" opacity=".5" offset="-6pt,-6pt"/>
            <v:textbox>
              <w:txbxContent>
                <w:p w:rsidR="00E17376" w:rsidRDefault="00E17376" w:rsidP="00E17376">
                  <w:pPr>
                    <w:rPr>
                      <w:noProof/>
                    </w:rPr>
                  </w:pPr>
                  <w:r>
                    <w:rPr>
                      <w:rFonts w:ascii="Calibri" w:hAnsi="Calibri" w:cs="Calibri"/>
                    </w:rPr>
                    <w:t xml:space="preserve">Principe de </w:t>
                  </w:r>
                  <w:r>
                    <w:rPr>
                      <w:rFonts w:ascii="Calibri" w:hAnsi="Calibri" w:cs="Calibri"/>
                      <w:b/>
                    </w:rPr>
                    <w:t>gratuité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E17376" w:rsidRDefault="002C1929" w:rsidP="00E17376">
      <w:pPr>
        <w:tabs>
          <w:tab w:val="left" w:pos="686"/>
        </w:tabs>
        <w:rPr>
          <w:rFonts w:ascii="Calibri" w:hAnsi="Calibri" w:cs="Calibri"/>
          <w:b/>
          <w:bCs/>
        </w:rPr>
      </w:pPr>
      <w:r w:rsidRPr="002C1929">
        <w:rPr>
          <w:lang w:eastAsia="ar-SA"/>
        </w:rPr>
        <w:pict>
          <v:shape id="_x0000_s1027" type="#_x0000_t202" style="position:absolute;margin-left:67.65pt;margin-top:1.7pt;width:129pt;height:19.5pt;z-index:251661312" fillcolor="black">
            <v:textbox>
              <w:txbxContent>
                <w:p w:rsidR="00E17376" w:rsidRDefault="00E17376" w:rsidP="00E17376">
                  <w:pPr>
                    <w:rPr>
                      <w:b/>
                      <w:i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color w:val="FFFFFF"/>
                    </w:rPr>
                    <w:t>JUSTICE = PRINCIPES</w:t>
                  </w:r>
                </w:p>
              </w:txbxContent>
            </v:textbox>
          </v:shape>
        </w:pic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/>
          <w:bCs/>
        </w:rPr>
      </w:pPr>
    </w:p>
    <w:p w:rsidR="00E17376" w:rsidRDefault="002C1929" w:rsidP="00E17376">
      <w:pPr>
        <w:tabs>
          <w:tab w:val="left" w:pos="686"/>
        </w:tabs>
        <w:rPr>
          <w:rFonts w:ascii="Calibri" w:hAnsi="Calibri" w:cs="Calibri"/>
          <w:b/>
          <w:bCs/>
        </w:rPr>
      </w:pPr>
      <w:r w:rsidRPr="002C1929">
        <w:rPr>
          <w:lang w:eastAsia="ar-SA"/>
        </w:rPr>
        <w:pict>
          <v:shape id="_x0000_s1030" type="#_x0000_t202" style="position:absolute;margin-left:27.75pt;margin-top:9.25pt;width:127.95pt;height:24.15pt;z-index:251664384;mso-wrap-style:none">
            <v:shadow on="t" opacity=".5" offset="-6pt,-6pt"/>
            <v:textbox style="mso-next-textbox:#_x0000_s1030">
              <w:txbxContent>
                <w:p w:rsidR="00E17376" w:rsidRDefault="00E17376" w:rsidP="00E17376">
                  <w:pPr>
                    <w:rPr>
                      <w:rFonts w:ascii="Calibri" w:hAnsi="Calibri" w:cs="Calibri"/>
                      <w:noProof/>
                    </w:rPr>
                  </w:pPr>
                  <w:r>
                    <w:rPr>
                      <w:rFonts w:ascii="Calibri" w:hAnsi="Calibri" w:cs="Calibri"/>
                    </w:rPr>
                    <w:t xml:space="preserve">Principe </w:t>
                  </w:r>
                  <w:r>
                    <w:rPr>
                      <w:rFonts w:ascii="Calibri" w:hAnsi="Calibri" w:cs="Calibri"/>
                      <w:b/>
                    </w:rPr>
                    <w:t>contradictoire</w:t>
                  </w:r>
                </w:p>
              </w:txbxContent>
            </v:textbox>
            <w10:wrap type="square"/>
          </v:shape>
        </w:pict>
      </w:r>
    </w:p>
    <w:p w:rsidR="00E17376" w:rsidRDefault="002C1929" w:rsidP="00E17376">
      <w:pPr>
        <w:tabs>
          <w:tab w:val="left" w:pos="686"/>
        </w:tabs>
        <w:rPr>
          <w:rFonts w:ascii="Calibri" w:hAnsi="Calibri" w:cs="Calibri"/>
          <w:b/>
          <w:bCs/>
        </w:rPr>
      </w:pPr>
      <w:r w:rsidRPr="002C1929">
        <w:rPr>
          <w:lang w:eastAsia="ar-SA"/>
        </w:rPr>
        <w:pict>
          <v:shape id="_x0000_s1028" type="#_x0000_t202" style="position:absolute;margin-left:180.75pt;margin-top:13.15pt;width:125.45pt;height:25.25pt;z-index:251662336;mso-wrap-style:none">
            <v:shadow on="t" opacity=".5" offset="-6pt,-6pt"/>
            <v:textbox style="mso-next-textbox:#_x0000_s1028">
              <w:txbxContent>
                <w:p w:rsidR="00E17376" w:rsidRDefault="00E17376" w:rsidP="00E1737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Principe </w:t>
                  </w:r>
                  <w:r>
                    <w:rPr>
                      <w:rFonts w:ascii="Calibri" w:hAnsi="Calibri" w:cs="Calibri"/>
                      <w:b/>
                    </w:rPr>
                    <w:t>d’impartialité</w:t>
                  </w:r>
                </w:p>
              </w:txbxContent>
            </v:textbox>
            <w10:wrap type="square"/>
          </v:shape>
        </w:pic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/>
          <w:bCs/>
        </w:rPr>
      </w:pP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/>
          <w:bCs/>
        </w:rPr>
      </w:pP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/>
          <w:bCs/>
        </w:rPr>
      </w:pP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I. ORGANISATION DE LA JUSTICE EN FRANCE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/>
          <w:bCs/>
        </w:rPr>
      </w:pPr>
    </w:p>
    <w:p w:rsidR="00E17376" w:rsidRDefault="00E17376" w:rsidP="00E17376">
      <w:pPr>
        <w:numPr>
          <w:ilvl w:val="0"/>
          <w:numId w:val="1"/>
        </w:numPr>
        <w:tabs>
          <w:tab w:val="left" w:pos="686"/>
        </w:tabs>
        <w:suppressAutoHyphen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Les 2 Grand ordres de juridiction 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/>
          <w:bCs/>
        </w:rPr>
      </w:pPr>
    </w:p>
    <w:p w:rsidR="00E17376" w:rsidRDefault="00E17376" w:rsidP="00E17376">
      <w:pPr>
        <w:tabs>
          <w:tab w:val="left" w:pos="68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On distingue en France deux grands ordres : 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</w:t>
      </w:r>
    </w:p>
    <w:p w:rsidR="00E17376" w:rsidRDefault="00E17376" w:rsidP="00E17376">
      <w:pPr>
        <w:numPr>
          <w:ilvl w:val="0"/>
          <w:numId w:val="2"/>
        </w:numPr>
        <w:tabs>
          <w:tab w:val="left" w:pos="686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L’ordre </w:t>
      </w:r>
      <w:r>
        <w:rPr>
          <w:rFonts w:ascii="Calibri" w:hAnsi="Calibri" w:cs="Calibri"/>
          <w:bCs/>
        </w:rPr>
        <w:t>…………………………………….</w:t>
      </w:r>
      <w:r>
        <w:rPr>
          <w:rFonts w:ascii="Calibri" w:hAnsi="Calibri" w:cs="Calibri"/>
        </w:rPr>
        <w:t xml:space="preserve"> juge les affaires entre particuliers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</w:rPr>
      </w:pPr>
    </w:p>
    <w:p w:rsidR="00E17376" w:rsidRDefault="00E17376" w:rsidP="00E17376">
      <w:pPr>
        <w:numPr>
          <w:ilvl w:val="0"/>
          <w:numId w:val="2"/>
        </w:numPr>
        <w:tabs>
          <w:tab w:val="left" w:pos="686"/>
        </w:tabs>
        <w:suppressAutoHyphen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L’ordre </w:t>
      </w:r>
      <w:r>
        <w:rPr>
          <w:rFonts w:ascii="Calibri" w:hAnsi="Calibri" w:cs="Calibri"/>
          <w:bCs/>
        </w:rPr>
        <w:t>…………………………………….</w:t>
      </w:r>
      <w:r>
        <w:rPr>
          <w:rFonts w:ascii="Calibri" w:hAnsi="Calibri" w:cs="Calibri"/>
          <w:b/>
          <w:bCs/>
        </w:rPr>
        <w:t xml:space="preserve"> juge les affaires </w:t>
      </w:r>
      <w:r>
        <w:rPr>
          <w:rFonts w:ascii="Calibri" w:hAnsi="Calibri" w:cs="Calibri"/>
        </w:rPr>
        <w:t>entre les particuliers ou les entreprises et l’Administration (</w:t>
      </w:r>
      <w:r>
        <w:rPr>
          <w:rFonts w:ascii="Calibri" w:hAnsi="Calibri" w:cs="Calibri"/>
          <w:i/>
          <w:iCs/>
        </w:rPr>
        <w:t>ex : la contestation d’un refus de permis de construire, un litige entre un fonctionnaire et l’État…).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/>
          <w:bCs/>
        </w:rPr>
      </w:pPr>
    </w:p>
    <w:p w:rsidR="00E17376" w:rsidRDefault="00E17376" w:rsidP="00E17376">
      <w:pPr>
        <w:numPr>
          <w:ilvl w:val="0"/>
          <w:numId w:val="1"/>
        </w:numPr>
        <w:tabs>
          <w:tab w:val="left" w:pos="686"/>
        </w:tabs>
        <w:suppressAutoHyphen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Les tribunaux de première </w:t>
      </w:r>
      <w:r>
        <w:rPr>
          <w:rFonts w:ascii="Calibri" w:hAnsi="Calibri" w:cs="Calibri"/>
          <w:bCs/>
        </w:rPr>
        <w:t>………………………………………….</w:t>
      </w:r>
      <w:r>
        <w:rPr>
          <w:rFonts w:ascii="Calibri" w:hAnsi="Calibri" w:cs="Calibri"/>
          <w:b/>
          <w:bCs/>
        </w:rPr>
        <w:t xml:space="preserve"> (ou 1</w:t>
      </w:r>
      <w:r>
        <w:rPr>
          <w:rFonts w:ascii="Calibri" w:hAnsi="Calibri" w:cs="Calibri"/>
          <w:b/>
          <w:bCs/>
          <w:vertAlign w:val="superscript"/>
        </w:rPr>
        <w:t>er</w:t>
      </w:r>
      <w:r>
        <w:rPr>
          <w:rFonts w:ascii="Calibri" w:hAnsi="Calibri" w:cs="Calibri"/>
          <w:b/>
          <w:bCs/>
        </w:rPr>
        <w:t xml:space="preserve"> degré)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/>
          <w:bCs/>
        </w:rPr>
      </w:pP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L’ordre judicaire comprend deux types de ……………………………………… (=tribunaux) : 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Cs/>
        </w:rPr>
      </w:pPr>
    </w:p>
    <w:p w:rsidR="00E17376" w:rsidRDefault="00E17376" w:rsidP="00E17376">
      <w:pPr>
        <w:numPr>
          <w:ilvl w:val="1"/>
          <w:numId w:val="3"/>
        </w:numPr>
        <w:tabs>
          <w:tab w:val="left" w:pos="686"/>
        </w:tabs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les juridictions </w:t>
      </w:r>
      <w:proofErr w:type="gramStart"/>
      <w:r>
        <w:rPr>
          <w:rFonts w:ascii="Calibri" w:hAnsi="Calibri" w:cs="Calibri"/>
        </w:rPr>
        <w:t>………………………………. :</w:t>
      </w:r>
      <w:proofErr w:type="gramEnd"/>
      <w:r>
        <w:rPr>
          <w:rFonts w:ascii="Calibri" w:hAnsi="Calibri" w:cs="Calibri"/>
        </w:rPr>
        <w:t xml:space="preserve"> qui sanctionnent les personnes ayant commis des …………………………………………… :</w:t>
      </w:r>
    </w:p>
    <w:p w:rsidR="00E17376" w:rsidRDefault="00E17376" w:rsidP="00E17376">
      <w:pPr>
        <w:tabs>
          <w:tab w:val="left" w:pos="686"/>
        </w:tabs>
        <w:ind w:left="360"/>
        <w:rPr>
          <w:rFonts w:ascii="Calibri" w:hAnsi="Calibri" w:cs="Calibri"/>
        </w:rPr>
      </w:pPr>
    </w:p>
    <w:p w:rsidR="00E17376" w:rsidRDefault="00E17376" w:rsidP="00E17376">
      <w:pPr>
        <w:numPr>
          <w:ilvl w:val="0"/>
          <w:numId w:val="2"/>
        </w:numPr>
        <w:tabs>
          <w:tab w:val="clear" w:pos="0"/>
          <w:tab w:val="num" w:pos="348"/>
          <w:tab w:val="left" w:pos="686"/>
        </w:tabs>
        <w:suppressAutoHyphens/>
        <w:spacing w:line="360" w:lineRule="auto"/>
        <w:ind w:left="1068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le tribunal de police                                          </w:t>
      </w:r>
      <w:r>
        <w:rPr>
          <w:rFonts w:ascii="Calibri" w:hAnsi="Calibri" w:cs="Calibri"/>
          <w:i/>
          <w:iCs/>
        </w:rPr>
        <w:sym w:font="Wingdings" w:char="00E8"/>
      </w:r>
      <w:r>
        <w:rPr>
          <w:rFonts w:ascii="Calibri" w:hAnsi="Calibri" w:cs="Calibri"/>
          <w:i/>
          <w:iCs/>
        </w:rPr>
        <w:t xml:space="preserve"> ……………………………………………….</w:t>
      </w:r>
    </w:p>
    <w:p w:rsidR="00E17376" w:rsidRDefault="00E17376" w:rsidP="00E17376">
      <w:pPr>
        <w:numPr>
          <w:ilvl w:val="0"/>
          <w:numId w:val="2"/>
        </w:numPr>
        <w:tabs>
          <w:tab w:val="clear" w:pos="0"/>
          <w:tab w:val="num" w:pos="348"/>
          <w:tab w:val="left" w:pos="686"/>
        </w:tabs>
        <w:suppressAutoHyphens/>
        <w:spacing w:line="360" w:lineRule="auto"/>
        <w:ind w:left="1068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le tribunal ……………………………………………….. </w:t>
      </w:r>
      <w:r>
        <w:rPr>
          <w:rFonts w:ascii="Calibri" w:hAnsi="Calibri" w:cs="Calibri"/>
          <w:i/>
          <w:iCs/>
        </w:rPr>
        <w:sym w:font="Wingdings" w:char="00E8"/>
      </w:r>
      <w:r>
        <w:rPr>
          <w:rFonts w:ascii="Calibri" w:hAnsi="Calibri" w:cs="Calibri"/>
          <w:i/>
          <w:iCs/>
        </w:rPr>
        <w:t xml:space="preserve"> DELITS </w:t>
      </w:r>
    </w:p>
    <w:p w:rsidR="00E17376" w:rsidRDefault="00E17376" w:rsidP="00E17376">
      <w:pPr>
        <w:numPr>
          <w:ilvl w:val="0"/>
          <w:numId w:val="2"/>
        </w:numPr>
        <w:tabs>
          <w:tab w:val="clear" w:pos="0"/>
          <w:tab w:val="num" w:pos="348"/>
          <w:tab w:val="left" w:pos="686"/>
        </w:tabs>
        <w:suppressAutoHyphens/>
        <w:spacing w:line="360" w:lineRule="auto"/>
        <w:ind w:left="1068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la ……………………. ……………………………..</w:t>
      </w: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sym w:font="Wingdings" w:char="00E8"/>
      </w:r>
      <w:r>
        <w:rPr>
          <w:rFonts w:ascii="Calibri" w:hAnsi="Calibri" w:cs="Calibri"/>
        </w:rPr>
        <w:t xml:space="preserve"> Crimes</w:t>
      </w:r>
    </w:p>
    <w:p w:rsidR="00E17376" w:rsidRDefault="00E17376" w:rsidP="00E17376">
      <w:pPr>
        <w:tabs>
          <w:tab w:val="left" w:pos="686"/>
        </w:tabs>
        <w:spacing w:line="360" w:lineRule="auto"/>
        <w:rPr>
          <w:rFonts w:ascii="Calibri" w:hAnsi="Calibri" w:cs="Calibri"/>
        </w:rPr>
      </w:pPr>
    </w:p>
    <w:p w:rsidR="00E17376" w:rsidRDefault="00E17376" w:rsidP="00E17376">
      <w:pPr>
        <w:numPr>
          <w:ilvl w:val="1"/>
          <w:numId w:val="3"/>
        </w:numPr>
        <w:tabs>
          <w:tab w:val="left" w:pos="686"/>
        </w:tabs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les juridictions …………………………………………….. règlent les litiges entre …………………………………… :</w:t>
      </w:r>
      <w:r>
        <w:rPr>
          <w:rFonts w:ascii="Calibri" w:hAnsi="Calibri" w:cs="Calibri"/>
          <w:i/>
          <w:iCs/>
        </w:rPr>
        <w:t xml:space="preserve"> </w:t>
      </w:r>
    </w:p>
    <w:p w:rsidR="00E17376" w:rsidRDefault="00E17376" w:rsidP="00E17376">
      <w:pPr>
        <w:tabs>
          <w:tab w:val="left" w:pos="686"/>
        </w:tabs>
        <w:ind w:left="360"/>
        <w:rPr>
          <w:rFonts w:ascii="Calibri" w:hAnsi="Calibri" w:cs="Calibri"/>
        </w:rPr>
      </w:pPr>
    </w:p>
    <w:p w:rsidR="00E17376" w:rsidRDefault="00E17376" w:rsidP="00E17376">
      <w:pPr>
        <w:numPr>
          <w:ilvl w:val="0"/>
          <w:numId w:val="2"/>
        </w:numPr>
        <w:tabs>
          <w:tab w:val="clear" w:pos="0"/>
          <w:tab w:val="num" w:pos="348"/>
          <w:tab w:val="left" w:pos="686"/>
        </w:tabs>
        <w:suppressAutoHyphens/>
        <w:ind w:left="2127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le tribunal d’instance (TI)</w:t>
      </w:r>
    </w:p>
    <w:p w:rsidR="00E17376" w:rsidRDefault="00E17376" w:rsidP="00E17376">
      <w:pPr>
        <w:numPr>
          <w:ilvl w:val="0"/>
          <w:numId w:val="2"/>
        </w:numPr>
        <w:tabs>
          <w:tab w:val="clear" w:pos="0"/>
          <w:tab w:val="num" w:pos="348"/>
          <w:tab w:val="left" w:pos="686"/>
        </w:tabs>
        <w:suppressAutoHyphens/>
        <w:spacing w:line="360" w:lineRule="auto"/>
        <w:ind w:left="2127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le tribunal de grande instance (TGI)</w:t>
      </w:r>
    </w:p>
    <w:p w:rsidR="00E17376" w:rsidRDefault="00E17376" w:rsidP="00E17376">
      <w:pPr>
        <w:numPr>
          <w:ilvl w:val="0"/>
          <w:numId w:val="2"/>
        </w:numPr>
        <w:tabs>
          <w:tab w:val="clear" w:pos="0"/>
          <w:tab w:val="num" w:pos="348"/>
          <w:tab w:val="left" w:pos="686"/>
        </w:tabs>
        <w:suppressAutoHyphens/>
        <w:spacing w:line="360" w:lineRule="auto"/>
        <w:ind w:left="2127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le tribunal de ………………………………..</w:t>
      </w:r>
    </w:p>
    <w:p w:rsidR="00E17376" w:rsidRDefault="00E17376" w:rsidP="00E17376">
      <w:pPr>
        <w:numPr>
          <w:ilvl w:val="0"/>
          <w:numId w:val="2"/>
        </w:numPr>
        <w:tabs>
          <w:tab w:val="clear" w:pos="0"/>
          <w:tab w:val="num" w:pos="348"/>
          <w:tab w:val="left" w:pos="686"/>
        </w:tabs>
        <w:suppressAutoHyphens/>
        <w:spacing w:line="360" w:lineRule="auto"/>
        <w:ind w:left="2127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le conseil des ……………………………….. </w:t>
      </w:r>
      <w:r>
        <w:rPr>
          <w:rFonts w:ascii="Calibri" w:hAnsi="Calibri" w:cs="Calibri"/>
          <w:i/>
          <w:iCs/>
        </w:rPr>
        <w:sym w:font="Wingdings" w:char="00E8"/>
      </w:r>
      <w:r>
        <w:rPr>
          <w:rFonts w:ascii="Calibri" w:hAnsi="Calibri" w:cs="Calibri"/>
          <w:i/>
          <w:iCs/>
        </w:rPr>
        <w:t xml:space="preserve"> SALARIE/EMPLOYEUR </w:t>
      </w:r>
    </w:p>
    <w:p w:rsidR="00E17376" w:rsidRDefault="00E17376" w:rsidP="00E17376">
      <w:pPr>
        <w:tabs>
          <w:tab w:val="left" w:pos="686"/>
        </w:tabs>
        <w:ind w:left="2127"/>
        <w:rPr>
          <w:rFonts w:ascii="Calibri" w:hAnsi="Calibri" w:cs="Calibri"/>
        </w:rPr>
      </w:pPr>
    </w:p>
    <w:p w:rsidR="00E17376" w:rsidRDefault="00E17376" w:rsidP="00E17376">
      <w:pPr>
        <w:tabs>
          <w:tab w:val="left" w:pos="686"/>
        </w:tabs>
        <w:rPr>
          <w:rFonts w:ascii="Calibri" w:hAnsi="Calibri" w:cs="Calibri"/>
        </w:rPr>
      </w:pPr>
      <w:r>
        <w:rPr>
          <w:rFonts w:ascii="Calibri" w:hAnsi="Calibri" w:cs="Calibri"/>
        </w:rPr>
        <w:t>L’ordre administratif juge ses affaires devant un ………………………………………………………………………….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</w:rPr>
      </w:pPr>
    </w:p>
    <w:p w:rsidR="00E17376" w:rsidRDefault="00E17376" w:rsidP="00E17376">
      <w:pPr>
        <w:tabs>
          <w:tab w:val="left" w:pos="686"/>
        </w:tabs>
        <w:rPr>
          <w:rFonts w:ascii="Calibri" w:hAnsi="Calibri" w:cs="Calibri"/>
        </w:rPr>
      </w:pPr>
    </w:p>
    <w:p w:rsidR="00E17376" w:rsidRDefault="00E17376" w:rsidP="00E17376">
      <w:pPr>
        <w:tabs>
          <w:tab w:val="left" w:pos="686"/>
        </w:tabs>
        <w:rPr>
          <w:rFonts w:ascii="Calibri" w:hAnsi="Calibri" w:cs="Calibri"/>
        </w:rPr>
      </w:pPr>
    </w:p>
    <w:p w:rsidR="00E17376" w:rsidRDefault="00E17376" w:rsidP="00E17376">
      <w:pPr>
        <w:tabs>
          <w:tab w:val="left" w:pos="686"/>
        </w:tabs>
        <w:rPr>
          <w:rFonts w:ascii="Calibri" w:hAnsi="Calibri" w:cs="Calibri"/>
        </w:rPr>
      </w:pPr>
    </w:p>
    <w:p w:rsidR="00E17376" w:rsidRDefault="00E17376" w:rsidP="00E17376">
      <w:pPr>
        <w:tabs>
          <w:tab w:val="left" w:pos="686"/>
        </w:tabs>
        <w:rPr>
          <w:rFonts w:ascii="Calibri" w:hAnsi="Calibri" w:cs="Calibri"/>
        </w:rPr>
      </w:pPr>
    </w:p>
    <w:p w:rsidR="00E17376" w:rsidRDefault="00E17376" w:rsidP="00E17376">
      <w:pPr>
        <w:numPr>
          <w:ilvl w:val="0"/>
          <w:numId w:val="1"/>
        </w:numPr>
        <w:tabs>
          <w:tab w:val="left" w:pos="686"/>
        </w:tabs>
        <w:suppressAutoHyphen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Le double degré de juridiction : La cour d’appel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/>
          <w:bCs/>
        </w:rPr>
      </w:pPr>
    </w:p>
    <w:p w:rsidR="00E17376" w:rsidRDefault="00E17376" w:rsidP="00E17376">
      <w:pPr>
        <w:tabs>
          <w:tab w:val="left" w:pos="686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PRINCIPE :  Lorsqu’une personne n’est pas satisfaite de ………………………………………………..………………………… ……………………………..rendue par une cour ou un tribunal, elle a le droit de faire ……………………………………... </w:t>
      </w:r>
    </w:p>
    <w:p w:rsidR="00E17376" w:rsidRDefault="00E17376" w:rsidP="00E17376">
      <w:pPr>
        <w:tabs>
          <w:tab w:val="left" w:pos="686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L’affaire est dans ce cas rejugée par une ………………………………………………………….………………, </w:t>
      </w:r>
    </w:p>
    <w:p w:rsidR="00E17376" w:rsidRDefault="00E17376" w:rsidP="00E17376">
      <w:pPr>
        <w:tabs>
          <w:tab w:val="left" w:pos="686"/>
        </w:tabs>
        <w:ind w:left="360"/>
        <w:rPr>
          <w:rFonts w:ascii="Calibri" w:hAnsi="Calibri" w:cs="Calibri"/>
        </w:rPr>
      </w:pPr>
    </w:p>
    <w:p w:rsidR="00E17376" w:rsidRDefault="00E17376" w:rsidP="00E17376">
      <w:pPr>
        <w:tabs>
          <w:tab w:val="left" w:pos="686"/>
        </w:tabs>
        <w:spacing w:line="360" w:lineRule="auto"/>
        <w:rPr>
          <w:rFonts w:ascii="Calibri" w:hAnsi="Calibri" w:cs="Calibri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95275" cy="295275"/>
            <wp:effectExtent l="19050" t="0" r="9525" b="0"/>
            <wp:docPr id="1" name="il_fi" descr="http://www.corps-synergie.com/images/p/pan/Panneau-Attention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rps-synergie.com/images/p/pan/Panneau-Attention256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D’autres juridictions peuvent être saisies par une partie pour vérifier si ………………………………..………….. …………………………………………………………………. par les juridictions précédentes :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</w:rPr>
      </w:pPr>
    </w:p>
    <w:p w:rsidR="00E17376" w:rsidRDefault="00E17376" w:rsidP="00E17376">
      <w:pPr>
        <w:numPr>
          <w:ilvl w:val="0"/>
          <w:numId w:val="2"/>
        </w:numPr>
        <w:tabs>
          <w:tab w:val="left" w:pos="686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 xml:space="preserve">La Cour de cassation pour l’ordre judiciaire </w:t>
      </w:r>
    </w:p>
    <w:p w:rsidR="00E17376" w:rsidRDefault="00E17376" w:rsidP="00E17376">
      <w:pPr>
        <w:numPr>
          <w:ilvl w:val="0"/>
          <w:numId w:val="2"/>
        </w:numPr>
        <w:tabs>
          <w:tab w:val="left" w:pos="686"/>
        </w:tabs>
        <w:suppressAutoHyphens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Le conseil d’État pour l’ordre administratif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/>
          <w:bCs/>
        </w:rPr>
      </w:pP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Si elle considère que cela n’a pas été le cas, elles renvoient l’affaire devant une nouvelle cour d’appel.</w:t>
      </w:r>
    </w:p>
    <w:p w:rsidR="00E17376" w:rsidRDefault="00E17376" w:rsidP="00E17376">
      <w:pPr>
        <w:tabs>
          <w:tab w:val="left" w:pos="686"/>
        </w:tabs>
      </w:pPr>
    </w:p>
    <w:p w:rsidR="00E17376" w:rsidRDefault="00E17376" w:rsidP="00E17376">
      <w:pPr>
        <w:tabs>
          <w:tab w:val="left" w:pos="686"/>
        </w:tabs>
      </w:pP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 LES PRINCIPAUX ACTEURS DU SYSTEME JUDICIAIRE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  <w:b/>
          <w:bCs/>
        </w:rPr>
      </w:pPr>
    </w:p>
    <w:p w:rsidR="00E17376" w:rsidRDefault="00E17376" w:rsidP="00E17376">
      <w:pPr>
        <w:numPr>
          <w:ilvl w:val="0"/>
          <w:numId w:val="4"/>
        </w:numPr>
        <w:tabs>
          <w:tab w:val="left" w:pos="686"/>
        </w:tabs>
        <w:suppressAutoHyphens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Les Magistrats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</w:rPr>
      </w:pPr>
    </w:p>
    <w:p w:rsidR="00E17376" w:rsidRDefault="00E17376" w:rsidP="00E17376">
      <w:pPr>
        <w:tabs>
          <w:tab w:val="left" w:pos="68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Ce sont des agents de ………………………………………………………… et peuvent </w:t>
      </w:r>
      <w:proofErr w:type="gramStart"/>
      <w:r>
        <w:rPr>
          <w:rFonts w:ascii="Calibri" w:hAnsi="Calibri" w:cs="Calibri"/>
        </w:rPr>
        <w:t>être  :</w:t>
      </w:r>
      <w:proofErr w:type="gramEnd"/>
      <w:r>
        <w:rPr>
          <w:rFonts w:ascii="Calibri" w:hAnsi="Calibri" w:cs="Calibri"/>
        </w:rPr>
        <w:t xml:space="preserve"> 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</w:rPr>
      </w:pPr>
    </w:p>
    <w:p w:rsidR="00E17376" w:rsidRDefault="00E17376" w:rsidP="00E17376">
      <w:pPr>
        <w:numPr>
          <w:ilvl w:val="0"/>
          <w:numId w:val="2"/>
        </w:numPr>
        <w:tabs>
          <w:tab w:val="left" w:pos="686"/>
        </w:tabs>
        <w:suppressAutoHyphens/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u w:val="single"/>
        </w:rPr>
        <w:t>Des ……………………………</w:t>
      </w:r>
      <w:r>
        <w:rPr>
          <w:rFonts w:ascii="Calibri" w:hAnsi="Calibri" w:cs="Calibri"/>
        </w:rPr>
        <w:t xml:space="preserve"> : appelés aussi ……………………………… du sièges, ils sont chargés de ……………… …………………………………………………………. </w:t>
      </w:r>
      <w:r>
        <w:rPr>
          <w:rFonts w:ascii="Calibri" w:hAnsi="Calibri" w:cs="Calibri"/>
          <w:i/>
        </w:rPr>
        <w:t>Ex. : juge des enfants, juge d’instruction…</w:t>
      </w:r>
    </w:p>
    <w:p w:rsidR="00E17376" w:rsidRDefault="00E17376" w:rsidP="00E17376">
      <w:pPr>
        <w:tabs>
          <w:tab w:val="left" w:pos="686"/>
        </w:tabs>
        <w:ind w:left="360"/>
        <w:rPr>
          <w:rFonts w:ascii="Calibri" w:hAnsi="Calibri" w:cs="Calibri"/>
          <w:i/>
        </w:rPr>
      </w:pPr>
    </w:p>
    <w:p w:rsidR="00E17376" w:rsidRDefault="00E17376" w:rsidP="00E17376">
      <w:pPr>
        <w:numPr>
          <w:ilvl w:val="0"/>
          <w:numId w:val="2"/>
        </w:numPr>
        <w:tabs>
          <w:tab w:val="left" w:pos="686"/>
        </w:tabs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 …………………………………………………………………………………….. : appelés aussi magistrats du parquet, ils sont chargés de …………………………………………………………………………………… et ses intérêts au cours de procès 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</w:rPr>
      </w:pPr>
    </w:p>
    <w:p w:rsidR="00E17376" w:rsidRDefault="00E17376" w:rsidP="00E17376">
      <w:pPr>
        <w:tabs>
          <w:tab w:val="left" w:pos="686"/>
        </w:tabs>
        <w:rPr>
          <w:rFonts w:ascii="Calibri" w:hAnsi="Calibri" w:cs="Calibri"/>
        </w:rPr>
      </w:pPr>
      <w:r>
        <w:rPr>
          <w:rFonts w:ascii="Calibri" w:hAnsi="Calibri" w:cs="Calibri"/>
        </w:rPr>
        <w:t>Ils ont assistés lors des procès par les ………………………………….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</w:rPr>
      </w:pPr>
    </w:p>
    <w:p w:rsidR="00E17376" w:rsidRDefault="00E17376" w:rsidP="00E17376">
      <w:pPr>
        <w:numPr>
          <w:ilvl w:val="0"/>
          <w:numId w:val="4"/>
        </w:numPr>
        <w:tabs>
          <w:tab w:val="left" w:pos="686"/>
        </w:tabs>
        <w:suppressAutoHyphens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Les auxiliaires de justice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</w:rPr>
      </w:pPr>
    </w:p>
    <w:p w:rsidR="00E17376" w:rsidRDefault="00E17376" w:rsidP="00E17376">
      <w:pPr>
        <w:tabs>
          <w:tab w:val="left" w:pos="686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Les </w:t>
      </w:r>
      <w:hyperlink r:id="rId8" w:anchor="#" w:history="1">
        <w:r>
          <w:rPr>
            <w:rStyle w:val="Lienhypertexte"/>
            <w:rFonts w:ascii="Calibri" w:hAnsi="Calibri" w:cs="Calibri"/>
          </w:rPr>
          <w:t>auxiliaires de Justice</w:t>
        </w:r>
      </w:hyperlink>
      <w:r>
        <w:rPr>
          <w:rFonts w:ascii="Calibri" w:hAnsi="Calibri" w:cs="Calibri"/>
        </w:rPr>
        <w:t xml:space="preserve"> exercent souvent une profession ………………………………… (= à leur compte). Ils sont rémunérés par ……………………. ……………………... On distingue principalement : </w:t>
      </w:r>
    </w:p>
    <w:p w:rsidR="00E17376" w:rsidRDefault="00E17376" w:rsidP="00E17376">
      <w:pPr>
        <w:tabs>
          <w:tab w:val="left" w:pos="686"/>
        </w:tabs>
        <w:rPr>
          <w:rFonts w:ascii="Calibri" w:hAnsi="Calibri" w:cs="Calibri"/>
        </w:rPr>
      </w:pPr>
    </w:p>
    <w:p w:rsidR="00E17376" w:rsidRDefault="00E17376" w:rsidP="00E17376">
      <w:pPr>
        <w:numPr>
          <w:ilvl w:val="0"/>
          <w:numId w:val="2"/>
        </w:numPr>
        <w:tabs>
          <w:tab w:val="left" w:pos="686"/>
        </w:tabs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les …………………………………….., </w:t>
      </w:r>
    </w:p>
    <w:p w:rsidR="00E17376" w:rsidRDefault="00E17376" w:rsidP="00E17376">
      <w:pPr>
        <w:numPr>
          <w:ilvl w:val="0"/>
          <w:numId w:val="2"/>
        </w:numPr>
        <w:tabs>
          <w:tab w:val="left" w:pos="686"/>
        </w:tabs>
        <w:suppressAutoHyphens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les ………………………………….., </w:t>
      </w:r>
    </w:p>
    <w:p w:rsidR="00E17376" w:rsidRDefault="00E17376" w:rsidP="00E17376">
      <w:pPr>
        <w:numPr>
          <w:ilvl w:val="0"/>
          <w:numId w:val="2"/>
        </w:numPr>
        <w:tabs>
          <w:tab w:val="left" w:pos="686"/>
        </w:tabs>
        <w:suppressAutoHyphens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les experts auprès des tribunaux, </w:t>
      </w:r>
    </w:p>
    <w:p w:rsidR="00E17376" w:rsidRDefault="00E17376" w:rsidP="00E17376">
      <w:pPr>
        <w:numPr>
          <w:ilvl w:val="0"/>
          <w:numId w:val="2"/>
        </w:numPr>
        <w:tabs>
          <w:tab w:val="left" w:pos="686"/>
        </w:tabs>
        <w:suppressAutoHyphens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les huissiers…</w:t>
      </w:r>
    </w:p>
    <w:p w:rsidR="00E17376" w:rsidRDefault="00E17376" w:rsidP="00E17376">
      <w:pPr>
        <w:rPr>
          <w:rFonts w:ascii="Arial" w:hAnsi="Arial" w:cs="Arial"/>
          <w:bCs/>
        </w:rPr>
      </w:pPr>
    </w:p>
    <w:p w:rsidR="00E17376" w:rsidRPr="00507568" w:rsidRDefault="00E17376" w:rsidP="00E17376">
      <w:pPr>
        <w:rPr>
          <w:rFonts w:ascii="Arial" w:hAnsi="Arial" w:cs="Arial"/>
          <w:bCs/>
        </w:rPr>
      </w:pPr>
    </w:p>
    <w:p w:rsidR="00E17376" w:rsidRDefault="00E17376" w:rsidP="00E17376">
      <w:pPr>
        <w:rPr>
          <w:rFonts w:ascii="Arial" w:hAnsi="Arial" w:cs="Arial"/>
        </w:rPr>
      </w:pPr>
    </w:p>
    <w:p w:rsidR="00E17376" w:rsidRDefault="00E17376" w:rsidP="00E17376">
      <w:pPr>
        <w:rPr>
          <w:rFonts w:ascii="Arial" w:hAnsi="Arial" w:cs="Arial"/>
        </w:rPr>
      </w:pPr>
    </w:p>
    <w:p w:rsidR="00E17376" w:rsidRDefault="00E17376" w:rsidP="00E17376">
      <w:pPr>
        <w:rPr>
          <w:rFonts w:ascii="Arial" w:hAnsi="Arial" w:cs="Arial"/>
        </w:rPr>
      </w:pPr>
    </w:p>
    <w:p w:rsidR="00DF0ECC" w:rsidRDefault="00744512"/>
    <w:sectPr w:rsidR="00DF0ECC" w:rsidSect="00E17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12E47087"/>
    <w:multiLevelType w:val="hybridMultilevel"/>
    <w:tmpl w:val="981604A8"/>
    <w:lvl w:ilvl="0" w:tplc="00000006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D0D9C"/>
    <w:multiLevelType w:val="hybridMultilevel"/>
    <w:tmpl w:val="B6CC3992"/>
    <w:lvl w:ilvl="0" w:tplc="A20659E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  <w:lvl w:ilvl="1" w:tplc="00000006">
      <w:numFmt w:val="bullet"/>
      <w:lvlText w:val="-"/>
      <w:lvlJc w:val="left"/>
      <w:pPr>
        <w:tabs>
          <w:tab w:val="num" w:pos="720"/>
        </w:tabs>
        <w:ind w:left="1440" w:hanging="360"/>
      </w:pPr>
      <w:rPr>
        <w:rFonts w:ascii="Calibri" w:hAnsi="Calibri" w:cs="Calibri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018D1"/>
    <w:multiLevelType w:val="hybridMultilevel"/>
    <w:tmpl w:val="02467D30"/>
    <w:lvl w:ilvl="0" w:tplc="36A6CFE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17376"/>
    <w:rsid w:val="00172C92"/>
    <w:rsid w:val="002A5C6B"/>
    <w:rsid w:val="002C1929"/>
    <w:rsid w:val="0033131A"/>
    <w:rsid w:val="00331C93"/>
    <w:rsid w:val="00586DC9"/>
    <w:rsid w:val="00744512"/>
    <w:rsid w:val="00BE3467"/>
    <w:rsid w:val="00D25A52"/>
    <w:rsid w:val="00E17376"/>
    <w:rsid w:val="00E36859"/>
    <w:rsid w:val="00F2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1737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3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37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.justice.gouv.fr/php/page.php?ref=3d" TargetMode="External"/><Relationship Id="rId3" Type="http://schemas.openxmlformats.org/officeDocument/2006/relationships/styles" Target="styles.xml"/><Relationship Id="rId7" Type="http://schemas.openxmlformats.org/officeDocument/2006/relationships/image" Target="http://www.corps-synergie.com/images/p/pan/Panneau-Attention256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1C257-F14C-43DE-A094-1FF15625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416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VOLTAN</dc:creator>
  <cp:lastModifiedBy>Aurelie VOLTAN</cp:lastModifiedBy>
  <cp:revision>2</cp:revision>
  <dcterms:created xsi:type="dcterms:W3CDTF">2014-10-07T09:14:00Z</dcterms:created>
  <dcterms:modified xsi:type="dcterms:W3CDTF">2014-10-07T09:31:00Z</dcterms:modified>
</cp:coreProperties>
</file>