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68" w:rsidRDefault="00C703E5">
      <w:r>
        <w:rPr>
          <w:rFonts w:cs="Arial"/>
          <w:b/>
          <w:bCs/>
          <w:iCs/>
          <w:noProof/>
          <w:color w:val="0F243E"/>
          <w:sz w:val="28"/>
          <w:szCs w:val="26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5528310</wp:posOffset>
            </wp:positionH>
            <wp:positionV relativeFrom="page">
              <wp:posOffset>276225</wp:posOffset>
            </wp:positionV>
            <wp:extent cx="552450" cy="59245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2CR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3A68">
        <w:t>Fiche pédagogique à remplir pour les productions Crcf</w:t>
      </w:r>
    </w:p>
    <w:p w:rsidR="00623A68" w:rsidRDefault="00623A68"/>
    <w:tbl>
      <w:tblPr>
        <w:tblW w:w="5000" w:type="pct"/>
        <w:tblCellSpacing w:w="15" w:type="dxa"/>
        <w:tblBorders>
          <w:top w:val="outset" w:sz="6" w:space="0" w:color="538135" w:themeColor="accent6" w:themeShade="BF"/>
          <w:left w:val="outset" w:sz="6" w:space="0" w:color="538135" w:themeColor="accent6" w:themeShade="BF"/>
          <w:bottom w:val="outset" w:sz="6" w:space="0" w:color="538135" w:themeColor="accent6" w:themeShade="BF"/>
          <w:right w:val="outset" w:sz="6" w:space="0" w:color="538135" w:themeColor="accent6" w:themeShade="BF"/>
          <w:insideH w:val="outset" w:sz="6" w:space="0" w:color="538135" w:themeColor="accent6" w:themeShade="BF"/>
          <w:insideV w:val="outset" w:sz="6" w:space="0" w:color="538135" w:themeColor="accent6" w:themeShade="BF"/>
        </w:tblBorders>
        <w:shd w:val="clear" w:color="auto" w:fill="E2EFD9" w:themeFill="accent6" w:themeFillTint="33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231"/>
        <w:gridCol w:w="7617"/>
      </w:tblGrid>
      <w:tr w:rsidR="00623A68" w:rsidRPr="00623A68" w:rsidTr="0061169F">
        <w:trPr>
          <w:tblCellSpacing w:w="15" w:type="dxa"/>
        </w:trPr>
        <w:tc>
          <w:tcPr>
            <w:tcW w:w="0" w:type="auto"/>
            <w:gridSpan w:val="2"/>
            <w:shd w:val="clear" w:color="auto" w:fill="E2EFD9" w:themeFill="accent6" w:themeFillTint="33"/>
            <w:vAlign w:val="center"/>
            <w:hideMark/>
          </w:tcPr>
          <w:p w:rsidR="00623A68" w:rsidRPr="00623A68" w:rsidRDefault="00C703E5" w:rsidP="004C7629">
            <w:pPr>
              <w:keepNext/>
              <w:numPr>
                <w:ilvl w:val="1"/>
                <w:numId w:val="0"/>
              </w:numPr>
              <w:tabs>
                <w:tab w:val="num" w:pos="851"/>
              </w:tabs>
              <w:spacing w:before="240" w:after="240"/>
              <w:ind w:left="851" w:right="0" w:hanging="567"/>
              <w:jc w:val="center"/>
              <w:outlineLvl w:val="1"/>
              <w:rPr>
                <w:rFonts w:cs="Arial"/>
                <w:b/>
                <w:bCs/>
                <w:iCs/>
                <w:color w:val="0F243E"/>
                <w:sz w:val="28"/>
                <w:szCs w:val="26"/>
                <w:u w:val="single"/>
              </w:rPr>
            </w:pPr>
            <w:r>
              <w:rPr>
                <w:rFonts w:cs="Arial"/>
                <w:b/>
                <w:bCs/>
                <w:iCs/>
                <w:noProof/>
                <w:color w:val="0F243E"/>
                <w:sz w:val="28"/>
                <w:szCs w:val="26"/>
                <w:u w:val="single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147955</wp:posOffset>
                  </wp:positionV>
                  <wp:extent cx="952381" cy="952381"/>
                  <wp:effectExtent l="0" t="0" r="635" b="635"/>
                  <wp:wrapTight wrapText="bothSides">
                    <wp:wrapPolygon edited="0">
                      <wp:start x="0" y="0"/>
                      <wp:lineTo x="0" y="21182"/>
                      <wp:lineTo x="21182" y="21182"/>
                      <wp:lineTo x="21182" y="0"/>
                      <wp:lineTo x="0" y="0"/>
                    </wp:wrapPolygon>
                  </wp:wrapTight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Crcf-ACAD-demi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381" cy="9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23A68" w:rsidRPr="00623A68">
              <w:rPr>
                <w:rFonts w:cs="Arial"/>
                <w:b/>
                <w:bCs/>
                <w:iCs/>
                <w:color w:val="0F243E"/>
                <w:sz w:val="28"/>
                <w:szCs w:val="26"/>
                <w:u w:val="single"/>
              </w:rPr>
              <w:br/>
            </w:r>
            <w:r w:rsidR="004C7629">
              <w:rPr>
                <w:rFonts w:cs="Arial"/>
                <w:b/>
                <w:bCs/>
                <w:iCs/>
                <w:sz w:val="36"/>
                <w:szCs w:val="26"/>
                <w:u w:val="single"/>
              </w:rPr>
              <w:t>PGI Paie</w:t>
            </w:r>
          </w:p>
        </w:tc>
      </w:tr>
      <w:tr w:rsidR="00623A68" w:rsidRPr="00623A68" w:rsidTr="0061169F">
        <w:trPr>
          <w:tblCellSpacing w:w="15" w:type="dxa"/>
        </w:trPr>
        <w:tc>
          <w:tcPr>
            <w:tcW w:w="1109" w:type="pct"/>
            <w:shd w:val="clear" w:color="auto" w:fill="E2EFD9" w:themeFill="accent6" w:themeFillTint="33"/>
            <w:vAlign w:val="center"/>
          </w:tcPr>
          <w:p w:rsidR="00623A68" w:rsidRPr="00623A68" w:rsidRDefault="00623A68" w:rsidP="00623A68">
            <w:pPr>
              <w:ind w:left="0" w:right="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ACADÉMIE</w:t>
            </w:r>
          </w:p>
        </w:tc>
        <w:tc>
          <w:tcPr>
            <w:tcW w:w="3842" w:type="pct"/>
            <w:shd w:val="clear" w:color="auto" w:fill="E2EFD9" w:themeFill="accent6" w:themeFillTint="33"/>
            <w:vAlign w:val="center"/>
          </w:tcPr>
          <w:p w:rsidR="00623A68" w:rsidRPr="00623A68" w:rsidRDefault="0029648B" w:rsidP="00623A68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>GRENOBLE</w:t>
            </w:r>
          </w:p>
        </w:tc>
      </w:tr>
      <w:tr w:rsidR="00623A68" w:rsidRPr="00623A68" w:rsidTr="0061169F">
        <w:trPr>
          <w:tblCellSpacing w:w="15" w:type="dxa"/>
        </w:trPr>
        <w:tc>
          <w:tcPr>
            <w:tcW w:w="1109" w:type="pct"/>
            <w:shd w:val="clear" w:color="auto" w:fill="E2EFD9" w:themeFill="accent6" w:themeFillTint="33"/>
            <w:vAlign w:val="center"/>
            <w:hideMark/>
          </w:tcPr>
          <w:p w:rsidR="00623A68" w:rsidRPr="00623A68" w:rsidRDefault="00623A68" w:rsidP="00623A68">
            <w:pPr>
              <w:ind w:left="0" w:right="0"/>
            </w:pPr>
            <w:r w:rsidRPr="00623A68">
              <w:rPr>
                <w:b/>
                <w:bCs/>
                <w:szCs w:val="20"/>
              </w:rPr>
              <w:t xml:space="preserve">Auteur(s) / relecteur(s) </w:t>
            </w:r>
            <w:r w:rsidRPr="00623A68">
              <w:rPr>
                <w:szCs w:val="20"/>
              </w:rPr>
              <w:t>:</w:t>
            </w:r>
          </w:p>
        </w:tc>
        <w:tc>
          <w:tcPr>
            <w:tcW w:w="3842" w:type="pct"/>
            <w:shd w:val="clear" w:color="auto" w:fill="E2EFD9" w:themeFill="accent6" w:themeFillTint="33"/>
            <w:vAlign w:val="center"/>
            <w:hideMark/>
          </w:tcPr>
          <w:p w:rsidR="00623A68" w:rsidRPr="00623A68" w:rsidRDefault="0029648B" w:rsidP="0029648B">
            <w:pPr>
              <w:ind w:left="0" w:right="0"/>
              <w:jc w:val="left"/>
            </w:pPr>
            <w:r>
              <w:rPr>
                <w:szCs w:val="20"/>
              </w:rPr>
              <w:t>Marie ALBASSIER et Fabienne BENNET</w:t>
            </w:r>
            <w:r w:rsidR="004C7629">
              <w:rPr>
                <w:szCs w:val="20"/>
              </w:rPr>
              <w:t xml:space="preserve"> établissement ITEC-</w:t>
            </w:r>
            <w:r>
              <w:rPr>
                <w:szCs w:val="20"/>
              </w:rPr>
              <w:t>BOISFLEURY</w:t>
            </w:r>
          </w:p>
        </w:tc>
      </w:tr>
      <w:tr w:rsidR="00623A68" w:rsidRPr="00623A68" w:rsidTr="0061169F">
        <w:trPr>
          <w:tblCellSpacing w:w="15" w:type="dxa"/>
        </w:trPr>
        <w:tc>
          <w:tcPr>
            <w:tcW w:w="1109" w:type="pct"/>
            <w:shd w:val="clear" w:color="auto" w:fill="E2EFD9" w:themeFill="accent6" w:themeFillTint="33"/>
            <w:vAlign w:val="center"/>
            <w:hideMark/>
          </w:tcPr>
          <w:p w:rsidR="00623A68" w:rsidRPr="00623A68" w:rsidRDefault="00623A68" w:rsidP="00623A68">
            <w:pPr>
              <w:ind w:left="0" w:right="0"/>
            </w:pPr>
            <w:r w:rsidRPr="00623A68">
              <w:rPr>
                <w:b/>
                <w:bCs/>
                <w:szCs w:val="20"/>
              </w:rPr>
              <w:t xml:space="preserve">Mots-Clés </w:t>
            </w:r>
            <w:r w:rsidRPr="00623A68">
              <w:rPr>
                <w:szCs w:val="20"/>
              </w:rPr>
              <w:t>:</w:t>
            </w:r>
          </w:p>
        </w:tc>
        <w:tc>
          <w:tcPr>
            <w:tcW w:w="3842" w:type="pct"/>
            <w:shd w:val="clear" w:color="auto" w:fill="E2EFD9" w:themeFill="accent6" w:themeFillTint="33"/>
            <w:vAlign w:val="center"/>
            <w:hideMark/>
          </w:tcPr>
          <w:p w:rsidR="00623A68" w:rsidRPr="00623A68" w:rsidRDefault="00623A68" w:rsidP="00623A68">
            <w:pPr>
              <w:ind w:left="0" w:right="0"/>
              <w:jc w:val="left"/>
            </w:pPr>
            <w:r w:rsidRPr="00623A68">
              <w:rPr>
                <w:szCs w:val="20"/>
              </w:rPr>
              <w:t> </w:t>
            </w:r>
            <w:r w:rsidR="0029648B">
              <w:rPr>
                <w:szCs w:val="20"/>
              </w:rPr>
              <w:t>Procédure d’embauche et de départ, fiches de paie, congés payés, retenues pour absences, calcul de l’IRPP.</w:t>
            </w:r>
          </w:p>
        </w:tc>
      </w:tr>
      <w:tr w:rsidR="00623A68" w:rsidRPr="00623A68" w:rsidTr="0061169F">
        <w:trPr>
          <w:tblCellSpacing w:w="15" w:type="dxa"/>
        </w:trPr>
        <w:tc>
          <w:tcPr>
            <w:tcW w:w="1109" w:type="pct"/>
            <w:shd w:val="clear" w:color="auto" w:fill="E2EFD9" w:themeFill="accent6" w:themeFillTint="33"/>
            <w:vAlign w:val="center"/>
            <w:hideMark/>
          </w:tcPr>
          <w:p w:rsidR="00623A68" w:rsidRPr="00623A68" w:rsidRDefault="00623A68" w:rsidP="00623A68">
            <w:pPr>
              <w:ind w:left="0" w:right="0"/>
            </w:pPr>
            <w:r w:rsidRPr="00623A68">
              <w:rPr>
                <w:b/>
                <w:bCs/>
                <w:szCs w:val="20"/>
              </w:rPr>
              <w:t xml:space="preserve">Description </w:t>
            </w:r>
            <w:r w:rsidRPr="00623A68">
              <w:rPr>
                <w:szCs w:val="20"/>
              </w:rPr>
              <w:t>:</w:t>
            </w:r>
          </w:p>
        </w:tc>
        <w:tc>
          <w:tcPr>
            <w:tcW w:w="3842" w:type="pct"/>
            <w:shd w:val="clear" w:color="auto" w:fill="E2EFD9" w:themeFill="accent6" w:themeFillTint="33"/>
            <w:vAlign w:val="center"/>
            <w:hideMark/>
          </w:tcPr>
          <w:p w:rsidR="00623A68" w:rsidRDefault="0029648B" w:rsidP="00623A68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>Gestion sociale sous CEGID :</w:t>
            </w:r>
          </w:p>
          <w:p w:rsidR="0029648B" w:rsidRDefault="0029648B" w:rsidP="00623A68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>-Veille sociale</w:t>
            </w:r>
          </w:p>
          <w:p w:rsidR="0029648B" w:rsidRDefault="0029648B" w:rsidP="00623A68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>-Formalités d’embauche (liste de contrôle, DPAE, contrat de travail)</w:t>
            </w:r>
          </w:p>
          <w:p w:rsidR="0029648B" w:rsidRDefault="0029648B" w:rsidP="0029648B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-Paramétrage de la prime d’ancienneté, de la prime de productivité, des avantages en nature, des heures supplémentaires, de la saisie arrêt sur salaire, </w:t>
            </w:r>
            <w:r w:rsidR="00CE103D">
              <w:rPr>
                <w:szCs w:val="20"/>
              </w:rPr>
              <w:t xml:space="preserve">du remboursement de frais professionnels, </w:t>
            </w:r>
            <w:r>
              <w:rPr>
                <w:szCs w:val="20"/>
              </w:rPr>
              <w:t>d’une absence pour maladie, de la reprise des congés payés (sous CEGID paie)</w:t>
            </w:r>
          </w:p>
          <w:p w:rsidR="0029648B" w:rsidRDefault="0029648B" w:rsidP="0029648B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>-</w:t>
            </w:r>
            <w:r w:rsidR="004C7629">
              <w:rPr>
                <w:szCs w:val="20"/>
              </w:rPr>
              <w:t>R</w:t>
            </w:r>
            <w:r>
              <w:rPr>
                <w:szCs w:val="20"/>
              </w:rPr>
              <w:t>éalisation des fiches de paie de 10 salariés</w:t>
            </w:r>
          </w:p>
          <w:p w:rsidR="0029648B" w:rsidRDefault="0029648B" w:rsidP="0029648B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>-Formalités de départ (lettre de convocation à entretien préalable, lettre de licenciement pour faute grave, certificat de travail, reçu pour solde de tout compte, registre du personnel, échéancier pour respecter les délais entre chaque étape)</w:t>
            </w:r>
          </w:p>
          <w:p w:rsidR="0029648B" w:rsidRPr="00623A68" w:rsidRDefault="004C7629" w:rsidP="0029648B">
            <w:pPr>
              <w:ind w:left="0" w:right="0"/>
              <w:jc w:val="left"/>
            </w:pPr>
            <w:r>
              <w:rPr>
                <w:szCs w:val="20"/>
              </w:rPr>
              <w:t>-</w:t>
            </w:r>
            <w:r w:rsidR="0029648B">
              <w:rPr>
                <w:szCs w:val="20"/>
              </w:rPr>
              <w:t>Calcul de l’IRPP</w:t>
            </w:r>
          </w:p>
        </w:tc>
      </w:tr>
      <w:tr w:rsidR="00623A68" w:rsidRPr="00623A68" w:rsidTr="0061169F">
        <w:trPr>
          <w:tblCellSpacing w:w="15" w:type="dxa"/>
        </w:trPr>
        <w:tc>
          <w:tcPr>
            <w:tcW w:w="1109" w:type="pct"/>
            <w:shd w:val="clear" w:color="auto" w:fill="E2EFD9" w:themeFill="accent6" w:themeFillTint="33"/>
            <w:vAlign w:val="center"/>
            <w:hideMark/>
          </w:tcPr>
          <w:p w:rsidR="00623A68" w:rsidRPr="00623A68" w:rsidRDefault="00623A68" w:rsidP="00623A68">
            <w:pPr>
              <w:spacing w:before="100" w:beforeAutospacing="1" w:after="100" w:afterAutospacing="1"/>
              <w:ind w:left="0" w:right="0"/>
            </w:pPr>
            <w:r w:rsidRPr="00623A68">
              <w:rPr>
                <w:b/>
                <w:bCs/>
              </w:rPr>
              <w:t>Public visé</w:t>
            </w:r>
            <w:r w:rsidRPr="00623A68">
              <w:t xml:space="preserve"> :</w:t>
            </w:r>
            <w:r w:rsidRPr="00623A68">
              <w:br/>
              <w:t> </w:t>
            </w:r>
            <w:r w:rsidRPr="00623A68">
              <w:br/>
            </w:r>
          </w:p>
        </w:tc>
        <w:tc>
          <w:tcPr>
            <w:tcW w:w="3842" w:type="pct"/>
            <w:shd w:val="clear" w:color="auto" w:fill="E2EFD9" w:themeFill="accent6" w:themeFillTint="33"/>
            <w:vAlign w:val="center"/>
            <w:hideMark/>
          </w:tcPr>
          <w:p w:rsidR="00623A68" w:rsidRPr="00623A68" w:rsidRDefault="00CE103D" w:rsidP="00623A68">
            <w:pPr>
              <w:ind w:left="0" w:right="0"/>
              <w:jc w:val="left"/>
            </w:pPr>
            <w:r>
              <w:rPr>
                <w:szCs w:val="20"/>
              </w:rPr>
              <w:t>BTS CG 1</w:t>
            </w:r>
            <w:r w:rsidRPr="00CE103D">
              <w:rPr>
                <w:szCs w:val="20"/>
                <w:vertAlign w:val="superscript"/>
              </w:rPr>
              <w:t>ère</w:t>
            </w:r>
            <w:r>
              <w:rPr>
                <w:szCs w:val="20"/>
              </w:rPr>
              <w:t xml:space="preserve"> année</w:t>
            </w:r>
          </w:p>
        </w:tc>
      </w:tr>
      <w:tr w:rsidR="00623A68" w:rsidRPr="00623A68" w:rsidTr="0061169F">
        <w:trPr>
          <w:tblCellSpacing w:w="15" w:type="dxa"/>
        </w:trPr>
        <w:tc>
          <w:tcPr>
            <w:tcW w:w="1109" w:type="pct"/>
            <w:shd w:val="clear" w:color="auto" w:fill="E2EFD9" w:themeFill="accent6" w:themeFillTint="33"/>
            <w:vAlign w:val="center"/>
            <w:hideMark/>
          </w:tcPr>
          <w:p w:rsidR="00623A68" w:rsidRPr="00623A68" w:rsidRDefault="00623A68" w:rsidP="00623A68">
            <w:pPr>
              <w:ind w:left="0" w:right="0"/>
            </w:pPr>
            <w:r w:rsidRPr="00623A68">
              <w:rPr>
                <w:b/>
                <w:bCs/>
                <w:szCs w:val="20"/>
              </w:rPr>
              <w:t xml:space="preserve">Domaine </w:t>
            </w:r>
            <w:r w:rsidRPr="00623A68">
              <w:rPr>
                <w:szCs w:val="20"/>
              </w:rPr>
              <w:t>:</w:t>
            </w:r>
          </w:p>
        </w:tc>
        <w:tc>
          <w:tcPr>
            <w:tcW w:w="3842" w:type="pct"/>
            <w:shd w:val="clear" w:color="auto" w:fill="E2EFD9" w:themeFill="accent6" w:themeFillTint="33"/>
            <w:vAlign w:val="center"/>
            <w:hideMark/>
          </w:tcPr>
          <w:p w:rsidR="00623A68" w:rsidRDefault="00CE103D" w:rsidP="00623A68">
            <w:pPr>
              <w:ind w:left="0" w:right="0"/>
              <w:jc w:val="left"/>
              <w:rPr>
                <w:sz w:val="20"/>
                <w:szCs w:val="22"/>
              </w:rPr>
            </w:pPr>
            <w:r w:rsidRPr="00CE103D">
              <w:rPr>
                <w:sz w:val="20"/>
                <w:szCs w:val="20"/>
              </w:rPr>
              <w:t>3.1.1</w:t>
            </w:r>
            <w:r>
              <w:t xml:space="preserve"> </w:t>
            </w:r>
            <w:r w:rsidRPr="00DA6C31">
              <w:rPr>
                <w:sz w:val="20"/>
                <w:szCs w:val="22"/>
              </w:rPr>
              <w:t>Réalisation de la veille juridique nécessaire à l’application des obligations fiscales</w:t>
            </w:r>
          </w:p>
          <w:p w:rsidR="00CE103D" w:rsidRDefault="00CE103D" w:rsidP="00623A68">
            <w:pPr>
              <w:ind w:left="0" w:right="0"/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3.3.7</w:t>
            </w:r>
            <w:r w:rsidRPr="00DA6C31">
              <w:rPr>
                <w:sz w:val="20"/>
                <w:szCs w:val="22"/>
              </w:rPr>
              <w:t xml:space="preserve"> Participation au calcul de l’impôt sur le revenu</w:t>
            </w:r>
          </w:p>
          <w:p w:rsidR="00CE103D" w:rsidRDefault="00CE103D" w:rsidP="00623A68">
            <w:pPr>
              <w:ind w:left="0" w:right="0"/>
              <w:jc w:val="left"/>
              <w:rPr>
                <w:sz w:val="20"/>
                <w:szCs w:val="22"/>
              </w:rPr>
            </w:pPr>
          </w:p>
          <w:p w:rsidR="00CE103D" w:rsidRDefault="00CE103D" w:rsidP="00623A68">
            <w:pPr>
              <w:ind w:left="0" w:right="0"/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4.1.1</w:t>
            </w:r>
            <w:r w:rsidRPr="00DA6C31">
              <w:rPr>
                <w:sz w:val="20"/>
                <w:szCs w:val="22"/>
              </w:rPr>
              <w:t xml:space="preserve"> Réalisation d’une veille juridique nécessaire au respect des obligations sociales</w:t>
            </w:r>
          </w:p>
          <w:p w:rsidR="00CE103D" w:rsidRDefault="00CE103D" w:rsidP="00623A68">
            <w:pPr>
              <w:ind w:left="0" w:right="0"/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4.1.2</w:t>
            </w:r>
            <w:r w:rsidRPr="00DA6C31">
              <w:rPr>
                <w:sz w:val="20"/>
                <w:szCs w:val="22"/>
              </w:rPr>
              <w:t xml:space="preserve"> Adaptation des procédures et des traitements internes</w:t>
            </w:r>
          </w:p>
          <w:p w:rsidR="00CE103D" w:rsidRDefault="00CE103D" w:rsidP="00623A68">
            <w:pPr>
              <w:ind w:left="0" w:right="0"/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4.1.3 Mise à jour de l’échéancier social.</w:t>
            </w:r>
          </w:p>
          <w:p w:rsidR="00CE103D" w:rsidRDefault="00CE103D" w:rsidP="00623A68">
            <w:pPr>
              <w:ind w:left="0" w:right="0"/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4.2.1 Etablissement des formalités d’embauche et de départ</w:t>
            </w:r>
          </w:p>
          <w:p w:rsidR="00CE103D" w:rsidRDefault="00CE103D" w:rsidP="00623A68">
            <w:pPr>
              <w:ind w:left="0" w:right="0"/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4.2.2 </w:t>
            </w:r>
            <w:r w:rsidRPr="00DA6C31">
              <w:rPr>
                <w:sz w:val="20"/>
                <w:szCs w:val="22"/>
              </w:rPr>
              <w:t>Recueil des informations relatives au suivi de la durée de travail</w:t>
            </w:r>
          </w:p>
          <w:p w:rsidR="00CE103D" w:rsidRDefault="00CE103D" w:rsidP="00623A68">
            <w:pPr>
              <w:ind w:left="0" w:right="0"/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4.2.3 </w:t>
            </w:r>
            <w:r w:rsidR="00DC3E9A">
              <w:rPr>
                <w:sz w:val="20"/>
                <w:szCs w:val="22"/>
              </w:rPr>
              <w:t>Recueil des informations relatives au suivi des absences et des congés.</w:t>
            </w:r>
          </w:p>
          <w:p w:rsidR="00DC3E9A" w:rsidRDefault="00DC3E9A" w:rsidP="00623A68">
            <w:pPr>
              <w:ind w:left="0" w:right="0"/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4.3.1 </w:t>
            </w:r>
            <w:r w:rsidRPr="00DA6C31">
              <w:rPr>
                <w:sz w:val="20"/>
                <w:szCs w:val="22"/>
              </w:rPr>
              <w:t>Prise en compte des éléments collectifs nécessaires à l’élaboration des bulletins de paie</w:t>
            </w:r>
          </w:p>
          <w:p w:rsidR="00DC3E9A" w:rsidRDefault="00DC3E9A" w:rsidP="00623A68">
            <w:pPr>
              <w:ind w:left="0" w:right="0"/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4.3.2 </w:t>
            </w:r>
            <w:r w:rsidRPr="00DA6C31">
              <w:rPr>
                <w:sz w:val="20"/>
                <w:szCs w:val="22"/>
              </w:rPr>
              <w:t>Prise en compte des éléments personnels nécessaires à l’élaboration des bulletins de paie</w:t>
            </w:r>
          </w:p>
          <w:p w:rsidR="00DC3E9A" w:rsidRDefault="00DC3E9A" w:rsidP="00623A68">
            <w:pPr>
              <w:ind w:left="0" w:right="0"/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4.3.3 Préparation, établissement et contrôle des déclarations sociales</w:t>
            </w:r>
          </w:p>
          <w:p w:rsidR="00DC3E9A" w:rsidRDefault="00DC3E9A" w:rsidP="00623A68">
            <w:pPr>
              <w:ind w:left="0" w:right="0"/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4.3.4 </w:t>
            </w:r>
            <w:r w:rsidRPr="00DA6C31">
              <w:rPr>
                <w:sz w:val="20"/>
                <w:szCs w:val="22"/>
              </w:rPr>
              <w:t>Enregistrement dans le journal de paie</w:t>
            </w:r>
          </w:p>
          <w:p w:rsidR="00DC3E9A" w:rsidRDefault="00DC3E9A" w:rsidP="00623A68">
            <w:pPr>
              <w:ind w:left="0" w:right="0"/>
              <w:jc w:val="left"/>
              <w:rPr>
                <w:sz w:val="20"/>
                <w:szCs w:val="22"/>
              </w:rPr>
            </w:pPr>
          </w:p>
          <w:p w:rsidR="00DC3E9A" w:rsidRDefault="00DC3E9A" w:rsidP="00623A68">
            <w:pPr>
              <w:ind w:left="0" w:right="0"/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7.1.4 </w:t>
            </w:r>
            <w:r w:rsidRPr="00DA6C31">
              <w:rPr>
                <w:sz w:val="20"/>
                <w:szCs w:val="22"/>
              </w:rPr>
              <w:t>Réalisation d’une veille informationnelle</w:t>
            </w:r>
          </w:p>
          <w:p w:rsidR="00CE103D" w:rsidRPr="00623A68" w:rsidRDefault="00CE103D" w:rsidP="00623A68">
            <w:pPr>
              <w:ind w:left="0" w:right="0"/>
              <w:jc w:val="left"/>
            </w:pPr>
          </w:p>
        </w:tc>
      </w:tr>
      <w:tr w:rsidR="00623A68" w:rsidRPr="00623A68" w:rsidTr="0061169F">
        <w:trPr>
          <w:tblCellSpacing w:w="15" w:type="dxa"/>
        </w:trPr>
        <w:tc>
          <w:tcPr>
            <w:tcW w:w="1109" w:type="pct"/>
            <w:shd w:val="clear" w:color="auto" w:fill="E2EFD9" w:themeFill="accent6" w:themeFillTint="33"/>
            <w:vAlign w:val="center"/>
            <w:hideMark/>
          </w:tcPr>
          <w:p w:rsidR="00623A68" w:rsidRPr="00623A68" w:rsidRDefault="00623A68" w:rsidP="00623A68">
            <w:pPr>
              <w:ind w:left="0" w:right="0"/>
            </w:pPr>
            <w:r w:rsidRPr="00623A68">
              <w:rPr>
                <w:b/>
                <w:bCs/>
                <w:szCs w:val="20"/>
              </w:rPr>
              <w:lastRenderedPageBreak/>
              <w:t xml:space="preserve">Type de ressource : </w:t>
            </w:r>
          </w:p>
        </w:tc>
        <w:tc>
          <w:tcPr>
            <w:tcW w:w="3842" w:type="pct"/>
            <w:shd w:val="clear" w:color="auto" w:fill="E2EFD9" w:themeFill="accent6" w:themeFillTint="33"/>
            <w:vAlign w:val="center"/>
            <w:hideMark/>
          </w:tcPr>
          <w:p w:rsidR="00623A68" w:rsidRPr="00623A68" w:rsidRDefault="00DC3E9A" w:rsidP="00623A68">
            <w:pPr>
              <w:ind w:left="0" w:right="0"/>
              <w:jc w:val="left"/>
            </w:pPr>
            <w:r>
              <w:t>Contexte professionnel et missions à réaliser, modes opératoires CEGID, base de départ en 2016 et base corrigée.</w:t>
            </w:r>
          </w:p>
        </w:tc>
      </w:tr>
      <w:tr w:rsidR="00623A68" w:rsidRPr="00623A68" w:rsidTr="0061169F">
        <w:trPr>
          <w:tblCellSpacing w:w="15" w:type="dxa"/>
        </w:trPr>
        <w:tc>
          <w:tcPr>
            <w:tcW w:w="1109" w:type="pct"/>
            <w:shd w:val="clear" w:color="auto" w:fill="E2EFD9" w:themeFill="accent6" w:themeFillTint="33"/>
            <w:vAlign w:val="center"/>
            <w:hideMark/>
          </w:tcPr>
          <w:p w:rsidR="00623A68" w:rsidRPr="00623A68" w:rsidRDefault="00623A68" w:rsidP="00623A68">
            <w:pPr>
              <w:spacing w:before="100" w:beforeAutospacing="1" w:after="100" w:afterAutospacing="1"/>
              <w:ind w:left="0" w:right="0"/>
            </w:pPr>
            <w:r w:rsidRPr="00623A68">
              <w:rPr>
                <w:b/>
                <w:bCs/>
              </w:rPr>
              <w:t xml:space="preserve">Logiciel utilisé </w:t>
            </w:r>
            <w:proofErr w:type="gramStart"/>
            <w:r w:rsidRPr="00623A68">
              <w:t>:</w:t>
            </w:r>
            <w:proofErr w:type="gramEnd"/>
            <w:r w:rsidRPr="00623A68">
              <w:br/>
            </w:r>
            <w:r w:rsidRPr="00623A68">
              <w:rPr>
                <w:b/>
                <w:bCs/>
              </w:rPr>
              <w:t xml:space="preserve">Autres outils TIC </w:t>
            </w:r>
            <w:r w:rsidRPr="00623A68">
              <w:t xml:space="preserve">: </w:t>
            </w:r>
          </w:p>
        </w:tc>
        <w:tc>
          <w:tcPr>
            <w:tcW w:w="3842" w:type="pct"/>
            <w:shd w:val="clear" w:color="auto" w:fill="E2EFD9" w:themeFill="accent6" w:themeFillTint="33"/>
            <w:vAlign w:val="center"/>
            <w:hideMark/>
          </w:tcPr>
          <w:p w:rsidR="00623A68" w:rsidRPr="00623A68" w:rsidRDefault="00DC3E9A" w:rsidP="00DC3E9A">
            <w:pPr>
              <w:ind w:left="0" w:right="0"/>
              <w:jc w:val="left"/>
            </w:pPr>
            <w:r>
              <w:rPr>
                <w:szCs w:val="20"/>
              </w:rPr>
              <w:t>CEGID paie, EXCEL, WORD</w:t>
            </w:r>
            <w:r w:rsidR="00623A68" w:rsidRPr="00623A68">
              <w:rPr>
                <w:szCs w:val="20"/>
              </w:rPr>
              <w:br/>
              <w:t> </w:t>
            </w:r>
          </w:p>
        </w:tc>
      </w:tr>
      <w:tr w:rsidR="00623A68" w:rsidRPr="00623A68" w:rsidTr="0061169F">
        <w:trPr>
          <w:tblCellSpacing w:w="15" w:type="dxa"/>
        </w:trPr>
        <w:tc>
          <w:tcPr>
            <w:tcW w:w="1109" w:type="pct"/>
            <w:shd w:val="clear" w:color="auto" w:fill="E2EFD9" w:themeFill="accent6" w:themeFillTint="33"/>
            <w:vAlign w:val="center"/>
            <w:hideMark/>
          </w:tcPr>
          <w:p w:rsidR="00623A68" w:rsidRPr="00623A68" w:rsidRDefault="00623A68" w:rsidP="00623A68">
            <w:pPr>
              <w:spacing w:before="100" w:beforeAutospacing="1" w:after="100" w:afterAutospacing="1"/>
              <w:ind w:left="0" w:right="0"/>
            </w:pPr>
            <w:r w:rsidRPr="00623A68">
              <w:rPr>
                <w:b/>
                <w:bCs/>
              </w:rPr>
              <w:t>Cadre pédagogique</w:t>
            </w:r>
            <w:proofErr w:type="gramStart"/>
            <w:r w:rsidRPr="00623A68">
              <w:rPr>
                <w:b/>
                <w:bCs/>
              </w:rPr>
              <w:t>,</w:t>
            </w:r>
            <w:proofErr w:type="gramEnd"/>
            <w:r w:rsidRPr="00623A68">
              <w:rPr>
                <w:b/>
                <w:bCs/>
              </w:rPr>
              <w:br/>
              <w:t>organisation pédagogique</w:t>
            </w:r>
            <w:r w:rsidRPr="00623A68">
              <w:rPr>
                <w:b/>
                <w:bCs/>
              </w:rPr>
              <w:br/>
              <w:t>et conditions de déroulement</w:t>
            </w:r>
            <w:r w:rsidRPr="00623A68">
              <w:t xml:space="preserve"> :</w:t>
            </w:r>
          </w:p>
        </w:tc>
        <w:tc>
          <w:tcPr>
            <w:tcW w:w="3842" w:type="pct"/>
            <w:shd w:val="clear" w:color="auto" w:fill="E2EFD9" w:themeFill="accent6" w:themeFillTint="33"/>
            <w:vAlign w:val="center"/>
            <w:hideMark/>
          </w:tcPr>
          <w:p w:rsidR="00623A68" w:rsidRDefault="00DC3E9A" w:rsidP="00623A68">
            <w:pPr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>Groupes d’AP de 4 étudiants.</w:t>
            </w:r>
          </w:p>
          <w:p w:rsidR="00DC3E9A" w:rsidRPr="00623A68" w:rsidRDefault="00DC3E9A" w:rsidP="004C7629">
            <w:pPr>
              <w:ind w:left="0" w:right="0"/>
              <w:jc w:val="left"/>
            </w:pPr>
            <w:r>
              <w:rPr>
                <w:szCs w:val="20"/>
              </w:rPr>
              <w:t xml:space="preserve">L’enseignant travaille en amont sous CEGID paie pour apprendre à paramétrer les primes, </w:t>
            </w:r>
            <w:r w:rsidR="004C7629">
              <w:rPr>
                <w:szCs w:val="20"/>
              </w:rPr>
              <w:t xml:space="preserve">la </w:t>
            </w:r>
            <w:r>
              <w:rPr>
                <w:szCs w:val="20"/>
              </w:rPr>
              <w:t>saisie</w:t>
            </w:r>
            <w:r w:rsidR="004C7629">
              <w:rPr>
                <w:szCs w:val="20"/>
              </w:rPr>
              <w:t>-</w:t>
            </w:r>
            <w:r>
              <w:rPr>
                <w:szCs w:val="20"/>
              </w:rPr>
              <w:t>arrêt et reprise des congés payés</w:t>
            </w:r>
            <w:r w:rsidR="004C7629">
              <w:rPr>
                <w:szCs w:val="20"/>
              </w:rPr>
              <w:t>, pour effectuer les fiches de paie, les déclarations et passer les écritures.</w:t>
            </w:r>
          </w:p>
        </w:tc>
      </w:tr>
      <w:tr w:rsidR="00623A68" w:rsidRPr="00623A68" w:rsidTr="0061169F">
        <w:trPr>
          <w:tblCellSpacing w:w="15" w:type="dxa"/>
        </w:trPr>
        <w:tc>
          <w:tcPr>
            <w:tcW w:w="1109" w:type="pct"/>
            <w:shd w:val="clear" w:color="auto" w:fill="E2EFD9" w:themeFill="accent6" w:themeFillTint="33"/>
            <w:vAlign w:val="center"/>
            <w:hideMark/>
          </w:tcPr>
          <w:p w:rsidR="00623A68" w:rsidRPr="00623A68" w:rsidRDefault="00623A68" w:rsidP="00623A68">
            <w:pPr>
              <w:spacing w:before="100" w:beforeAutospacing="1" w:after="100" w:afterAutospacing="1"/>
              <w:ind w:left="0" w:right="0"/>
            </w:pPr>
            <w:r w:rsidRPr="00623A68">
              <w:rPr>
                <w:b/>
                <w:bCs/>
              </w:rPr>
              <w:t xml:space="preserve">Fichier à télécharger :  </w:t>
            </w:r>
          </w:p>
        </w:tc>
        <w:tc>
          <w:tcPr>
            <w:tcW w:w="3842" w:type="pct"/>
            <w:shd w:val="clear" w:color="auto" w:fill="E2EFD9" w:themeFill="accent6" w:themeFillTint="33"/>
            <w:vAlign w:val="center"/>
            <w:hideMark/>
          </w:tcPr>
          <w:p w:rsidR="00623A68" w:rsidRPr="00623A68" w:rsidRDefault="004C7629" w:rsidP="00623A68">
            <w:pPr>
              <w:ind w:left="0" w:right="0"/>
              <w:jc w:val="left"/>
            </w:pPr>
            <w:r>
              <w:rPr>
                <w:szCs w:val="20"/>
              </w:rPr>
              <w:t>Fichier .BAK sous CEGID</w:t>
            </w:r>
          </w:p>
        </w:tc>
      </w:tr>
      <w:tr w:rsidR="00623A68" w:rsidRPr="00623A68" w:rsidTr="0061169F">
        <w:trPr>
          <w:tblCellSpacing w:w="15" w:type="dxa"/>
        </w:trPr>
        <w:tc>
          <w:tcPr>
            <w:tcW w:w="0" w:type="auto"/>
            <w:gridSpan w:val="2"/>
            <w:shd w:val="clear" w:color="auto" w:fill="E2EFD9" w:themeFill="accent6" w:themeFillTint="33"/>
            <w:vAlign w:val="center"/>
            <w:hideMark/>
          </w:tcPr>
          <w:p w:rsidR="004C7629" w:rsidRDefault="00623A68" w:rsidP="004C7629">
            <w:pPr>
              <w:ind w:left="0" w:right="0"/>
              <w:rPr>
                <w:szCs w:val="20"/>
              </w:rPr>
            </w:pPr>
            <w:r w:rsidRPr="00623A68">
              <w:rPr>
                <w:b/>
                <w:bCs/>
                <w:szCs w:val="20"/>
              </w:rPr>
              <w:t>Observations</w:t>
            </w:r>
            <w:r w:rsidRPr="00623A68">
              <w:rPr>
                <w:szCs w:val="20"/>
              </w:rPr>
              <w:t xml:space="preserve"> :</w:t>
            </w:r>
            <w:r w:rsidR="004C7629">
              <w:rPr>
                <w:szCs w:val="20"/>
              </w:rPr>
              <w:t xml:space="preserve"> des erreurs sont réalisées par les étudiants, mais les fiches de paie sont modifiables donc les rectifications sont possibles.</w:t>
            </w:r>
          </w:p>
          <w:p w:rsidR="00883F4E" w:rsidRPr="00623A68" w:rsidRDefault="00883F4E" w:rsidP="004C7629">
            <w:pPr>
              <w:ind w:left="0" w:right="0"/>
            </w:pPr>
            <w:r>
              <w:rPr>
                <w:szCs w:val="20"/>
              </w:rPr>
              <w:t>L’AP peut être prolongée par la gestion des congés payés de l’été 2016. Ceci est possible puisque la reprise des congés au 1</w:t>
            </w:r>
            <w:r w:rsidRPr="00883F4E">
              <w:rPr>
                <w:szCs w:val="20"/>
                <w:vertAlign w:val="superscript"/>
              </w:rPr>
              <w:t>er</w:t>
            </w:r>
            <w:r>
              <w:rPr>
                <w:szCs w:val="20"/>
              </w:rPr>
              <w:t xml:space="preserve"> janvier 2016 a été faite (en base et en nombre de jours), CEGID peut donc faire la comparaison entre la règle du maintien et la règle du 1/10</w:t>
            </w:r>
            <w:r w:rsidRPr="00883F4E">
              <w:rPr>
                <w:szCs w:val="20"/>
                <w:vertAlign w:val="superscript"/>
              </w:rPr>
              <w:t>e</w:t>
            </w:r>
            <w:r>
              <w:rPr>
                <w:szCs w:val="20"/>
              </w:rPr>
              <w:t>.</w:t>
            </w:r>
          </w:p>
        </w:tc>
      </w:tr>
    </w:tbl>
    <w:p w:rsidR="00623A68" w:rsidRDefault="00623A68"/>
    <w:sectPr w:rsidR="00623A68" w:rsidSect="006B3E26">
      <w:pgSz w:w="11906" w:h="16838"/>
      <w:pgMar w:top="851" w:right="1134" w:bottom="851" w:left="1134" w:header="284" w:footer="62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83EB8"/>
    <w:multiLevelType w:val="hybridMultilevel"/>
    <w:tmpl w:val="C190458C"/>
    <w:lvl w:ilvl="0" w:tplc="A4746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C70D30"/>
    <w:multiLevelType w:val="hybridMultilevel"/>
    <w:tmpl w:val="5DE81D4C"/>
    <w:lvl w:ilvl="0" w:tplc="B07C12F4">
      <w:start w:val="1"/>
      <w:numFmt w:val="bullet"/>
      <w:lvlText w:val="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B643BD"/>
    <w:multiLevelType w:val="hybridMultilevel"/>
    <w:tmpl w:val="EB723472"/>
    <w:lvl w:ilvl="0" w:tplc="B07C12F4">
      <w:start w:val="1"/>
      <w:numFmt w:val="bullet"/>
      <w:lvlText w:val="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/>
  <w:rsids>
    <w:rsidRoot w:val="00623A68"/>
    <w:rsid w:val="00077609"/>
    <w:rsid w:val="0029648B"/>
    <w:rsid w:val="004C7629"/>
    <w:rsid w:val="00534635"/>
    <w:rsid w:val="0061169F"/>
    <w:rsid w:val="00623A68"/>
    <w:rsid w:val="006B3E26"/>
    <w:rsid w:val="00883F4E"/>
    <w:rsid w:val="009E7820"/>
    <w:rsid w:val="00C703E5"/>
    <w:rsid w:val="00CE103D"/>
    <w:rsid w:val="00DC3E9A"/>
    <w:rsid w:val="00E04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A68"/>
    <w:pPr>
      <w:ind w:left="284" w:right="284"/>
      <w:jc w:val="both"/>
    </w:pPr>
    <w:rPr>
      <w:rFonts w:ascii="Book Antiqua" w:hAnsi="Book Antiqua"/>
      <w:sz w:val="24"/>
      <w:szCs w:val="24"/>
    </w:rPr>
  </w:style>
  <w:style w:type="paragraph" w:styleId="Titre1">
    <w:name w:val="heading 1"/>
    <w:basedOn w:val="Normal"/>
    <w:next w:val="Normal"/>
    <w:qFormat/>
    <w:rsid w:val="006B3E26"/>
    <w:pPr>
      <w:keepNext/>
      <w:pBdr>
        <w:top w:val="thinThickSmallGap" w:sz="18" w:space="1" w:color="000080"/>
        <w:bottom w:val="thickThinSmallGap" w:sz="18" w:space="1" w:color="000080"/>
      </w:pBdr>
      <w:spacing w:before="240" w:after="240"/>
      <w:ind w:left="0" w:right="-1"/>
      <w:outlineLvl w:val="0"/>
    </w:pPr>
    <w:rPr>
      <w:rFonts w:ascii="Arial" w:hAnsi="Arial" w:cs="Arial"/>
      <w:b/>
      <w:bCs/>
      <w:color w:val="0000FF"/>
      <w:kern w:val="32"/>
      <w:sz w:val="36"/>
      <w:szCs w:val="32"/>
    </w:rPr>
  </w:style>
  <w:style w:type="paragraph" w:styleId="Titre2">
    <w:name w:val="heading 2"/>
    <w:basedOn w:val="Normal"/>
    <w:next w:val="Normal"/>
    <w:qFormat/>
    <w:rsid w:val="006B3E26"/>
    <w:pPr>
      <w:keepNext/>
      <w:pBdr>
        <w:bottom w:val="thickThinSmallGap" w:sz="18" w:space="1" w:color="000080"/>
      </w:pBdr>
      <w:spacing w:before="240" w:after="240"/>
      <w:ind w:left="0" w:right="0"/>
      <w:outlineLvl w:val="1"/>
    </w:pPr>
    <w:rPr>
      <w:rFonts w:ascii="Arial" w:hAnsi="Arial" w:cs="Arial"/>
      <w:b/>
      <w:bCs/>
      <w:i/>
      <w:iCs/>
      <w:color w:val="0000FF"/>
      <w:sz w:val="28"/>
      <w:szCs w:val="28"/>
      <w:u w:color="000080"/>
    </w:rPr>
  </w:style>
  <w:style w:type="paragraph" w:styleId="Titre3">
    <w:name w:val="heading 3"/>
    <w:basedOn w:val="Normal"/>
    <w:next w:val="Normal"/>
    <w:qFormat/>
    <w:rsid w:val="006B3E26"/>
    <w:pPr>
      <w:keepNext/>
      <w:spacing w:before="240" w:after="120"/>
      <w:ind w:left="0" w:right="-1"/>
      <w:outlineLvl w:val="2"/>
    </w:pPr>
    <w:rPr>
      <w:rFonts w:ascii="Arial" w:hAnsi="Arial" w:cs="Arial"/>
      <w:b/>
      <w:bCs/>
      <w:color w:val="0000FF"/>
      <w:sz w:val="26"/>
      <w:szCs w:val="26"/>
      <w:u w:val="single" w:color="000080"/>
    </w:rPr>
  </w:style>
  <w:style w:type="paragraph" w:styleId="Titre4">
    <w:name w:val="heading 4"/>
    <w:basedOn w:val="Normal"/>
    <w:next w:val="Normal"/>
    <w:qFormat/>
    <w:rsid w:val="006B3E26"/>
    <w:pPr>
      <w:keepNext/>
      <w:spacing w:before="120" w:after="120"/>
      <w:ind w:left="0"/>
      <w:outlineLvl w:val="3"/>
    </w:pPr>
    <w:rPr>
      <w:b/>
      <w:bCs/>
      <w:color w:val="0000FF"/>
      <w:u w:val="single" w:color="000080"/>
    </w:rPr>
  </w:style>
  <w:style w:type="paragraph" w:styleId="Titre5">
    <w:name w:val="heading 5"/>
    <w:basedOn w:val="Normal"/>
    <w:next w:val="Normal"/>
    <w:qFormat/>
    <w:rsid w:val="006B3E26"/>
    <w:pPr>
      <w:keepNext/>
      <w:outlineLvl w:val="4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6B3E2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left"/>
      <w:textAlignment w:val="baseline"/>
    </w:pPr>
    <w:rPr>
      <w:sz w:val="20"/>
      <w:szCs w:val="20"/>
    </w:rPr>
  </w:style>
  <w:style w:type="paragraph" w:styleId="Pieddepage">
    <w:name w:val="footer"/>
    <w:basedOn w:val="Normal"/>
    <w:semiHidden/>
    <w:rsid w:val="006B3E26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semiHidden/>
    <w:rsid w:val="006B3E26"/>
    <w:rPr>
      <w:color w:val="0000FF"/>
      <w:u w:val="single"/>
    </w:rPr>
  </w:style>
  <w:style w:type="paragraph" w:customStyle="1" w:styleId="txt">
    <w:name w:val="txt"/>
    <w:basedOn w:val="Normal"/>
    <w:rsid w:val="006B3E26"/>
    <w:pPr>
      <w:spacing w:before="100" w:beforeAutospacing="1" w:after="100" w:afterAutospacing="1"/>
      <w:jc w:val="left"/>
    </w:pPr>
    <w:rPr>
      <w:rFonts w:ascii="Arial" w:hAnsi="Arial" w:cs="Arial"/>
      <w:color w:val="003366"/>
      <w:sz w:val="15"/>
      <w:szCs w:val="15"/>
    </w:rPr>
  </w:style>
  <w:style w:type="paragraph" w:customStyle="1" w:styleId="ref">
    <w:name w:val="ref"/>
    <w:basedOn w:val="Normal"/>
    <w:rsid w:val="006B3E26"/>
    <w:pPr>
      <w:spacing w:before="100" w:beforeAutospacing="1" w:after="100" w:afterAutospacing="1"/>
      <w:jc w:val="left"/>
    </w:pPr>
    <w:rPr>
      <w:rFonts w:ascii="Verdana" w:hAnsi="Verdana"/>
      <w:color w:val="003366"/>
      <w:sz w:val="16"/>
      <w:szCs w:val="16"/>
    </w:rPr>
  </w:style>
  <w:style w:type="character" w:styleId="Lienhypertextesuivivisit">
    <w:name w:val="FollowedHyperlink"/>
    <w:basedOn w:val="Policepardfaut"/>
    <w:semiHidden/>
    <w:rsid w:val="006B3E26"/>
    <w:rPr>
      <w:color w:val="800080"/>
      <w:u w:val="single"/>
    </w:rPr>
  </w:style>
  <w:style w:type="paragraph" w:styleId="Normalcentr">
    <w:name w:val="Block Text"/>
    <w:basedOn w:val="Normal"/>
    <w:semiHidden/>
    <w:rsid w:val="006B3E26"/>
  </w:style>
  <w:style w:type="paragraph" w:styleId="Notedebasdepage">
    <w:name w:val="footnote text"/>
    <w:basedOn w:val="Normal"/>
    <w:semiHidden/>
    <w:rsid w:val="006B3E26"/>
    <w:rPr>
      <w:szCs w:val="20"/>
    </w:rPr>
  </w:style>
  <w:style w:type="character" w:styleId="Numrodepage">
    <w:name w:val="page number"/>
    <w:basedOn w:val="Policepardfaut"/>
    <w:semiHidden/>
    <w:rsid w:val="006B3E26"/>
  </w:style>
  <w:style w:type="paragraph" w:styleId="TM1">
    <w:name w:val="toc 1"/>
    <w:basedOn w:val="Normal"/>
    <w:next w:val="Normal"/>
    <w:autoRedefine/>
    <w:semiHidden/>
    <w:rsid w:val="006B3E26"/>
    <w:pPr>
      <w:spacing w:before="120" w:after="60"/>
      <w:ind w:left="0"/>
      <w:jc w:val="left"/>
    </w:pPr>
    <w:rPr>
      <w:b/>
      <w:bCs/>
      <w:color w:val="0000FF"/>
      <w:u w:val="single"/>
    </w:rPr>
  </w:style>
  <w:style w:type="paragraph" w:styleId="TM2">
    <w:name w:val="toc 2"/>
    <w:basedOn w:val="Normal"/>
    <w:next w:val="Normal"/>
    <w:autoRedefine/>
    <w:semiHidden/>
    <w:rsid w:val="006B3E26"/>
    <w:pPr>
      <w:spacing w:before="60" w:after="60"/>
      <w:jc w:val="left"/>
    </w:pPr>
    <w:rPr>
      <w:b/>
      <w:iCs/>
      <w:color w:val="0000FF"/>
    </w:rPr>
  </w:style>
  <w:style w:type="paragraph" w:styleId="TM3">
    <w:name w:val="toc 3"/>
    <w:basedOn w:val="Normal"/>
    <w:next w:val="Normal"/>
    <w:autoRedefine/>
    <w:semiHidden/>
    <w:rsid w:val="006B3E26"/>
    <w:pPr>
      <w:spacing w:before="60"/>
      <w:ind w:left="397"/>
      <w:jc w:val="left"/>
    </w:pPr>
    <w:rPr>
      <w:color w:val="0000FF"/>
    </w:rPr>
  </w:style>
  <w:style w:type="paragraph" w:styleId="TM4">
    <w:name w:val="toc 4"/>
    <w:basedOn w:val="Normal"/>
    <w:next w:val="Normal"/>
    <w:autoRedefine/>
    <w:semiHidden/>
    <w:rsid w:val="006B3E26"/>
    <w:pPr>
      <w:ind w:left="600"/>
      <w:jc w:val="left"/>
    </w:pPr>
    <w:rPr>
      <w:i/>
      <w:color w:val="0000FF"/>
    </w:rPr>
  </w:style>
  <w:style w:type="paragraph" w:styleId="TM5">
    <w:name w:val="toc 5"/>
    <w:basedOn w:val="Normal"/>
    <w:next w:val="Normal"/>
    <w:autoRedefine/>
    <w:semiHidden/>
    <w:rsid w:val="006B3E26"/>
    <w:pPr>
      <w:ind w:left="800"/>
      <w:jc w:val="left"/>
    </w:pPr>
  </w:style>
  <w:style w:type="paragraph" w:styleId="TM6">
    <w:name w:val="toc 6"/>
    <w:basedOn w:val="Normal"/>
    <w:next w:val="Normal"/>
    <w:autoRedefine/>
    <w:semiHidden/>
    <w:rsid w:val="006B3E26"/>
    <w:pPr>
      <w:ind w:left="1000"/>
      <w:jc w:val="left"/>
    </w:pPr>
    <w:rPr>
      <w:rFonts w:ascii="Times New Roman" w:hAnsi="Times New Roman"/>
    </w:rPr>
  </w:style>
  <w:style w:type="paragraph" w:styleId="TM7">
    <w:name w:val="toc 7"/>
    <w:basedOn w:val="Normal"/>
    <w:next w:val="Normal"/>
    <w:autoRedefine/>
    <w:semiHidden/>
    <w:rsid w:val="006B3E26"/>
    <w:pPr>
      <w:ind w:left="120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y\AppData\Roaming\Microsoft\Templates\productionsCR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productionsCRT</Template>
  <TotalTime>4</TotalTime>
  <Pages>2</Pages>
  <Words>440</Words>
  <Characters>2508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Perrin Toinin</dc:creator>
  <cp:lastModifiedBy>malbassi</cp:lastModifiedBy>
  <cp:revision>2</cp:revision>
  <dcterms:created xsi:type="dcterms:W3CDTF">2016-02-11T14:02:00Z</dcterms:created>
  <dcterms:modified xsi:type="dcterms:W3CDTF">2016-02-11T14:02:00Z</dcterms:modified>
</cp:coreProperties>
</file>