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DB" w:rsidRDefault="001665DB"/>
    <w:tbl>
      <w:tblPr>
        <w:tblW w:w="5000" w:type="pct"/>
        <w:tblCellMar>
          <w:left w:w="10" w:type="dxa"/>
          <w:right w:w="10" w:type="dxa"/>
        </w:tblCellMar>
        <w:tblLook w:val="0000" w:firstRow="0" w:lastRow="0" w:firstColumn="0" w:lastColumn="0" w:noHBand="0" w:noVBand="0"/>
      </w:tblPr>
      <w:tblGrid>
        <w:gridCol w:w="2211"/>
        <w:gridCol w:w="7547"/>
      </w:tblGrid>
      <w:tr w:rsidR="001665DB">
        <w:tc>
          <w:tcPr>
            <w:tcW w:w="9622" w:type="dxa"/>
            <w:gridSpan w:val="2"/>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41534F" w:rsidP="0041534F">
            <w:pPr>
              <w:keepNext/>
              <w:tabs>
                <w:tab w:val="left" w:pos="851"/>
              </w:tabs>
              <w:spacing w:before="240" w:after="240"/>
              <w:ind w:left="851" w:right="0" w:hanging="567"/>
              <w:jc w:val="center"/>
            </w:pPr>
            <w:r>
              <w:rPr>
                <w:noProof/>
              </w:rPr>
              <w:drawing>
                <wp:anchor distT="0" distB="0" distL="114300" distR="114300" simplePos="0" relativeHeight="251658240" behindDoc="0" locked="0" layoutInCell="1" allowOverlap="1" wp14:anchorId="02792582" wp14:editId="7CA08B8B">
                  <wp:simplePos x="0" y="0"/>
                  <wp:positionH relativeFrom="column">
                    <wp:posOffset>4143375</wp:posOffset>
                  </wp:positionH>
                  <wp:positionV relativeFrom="page">
                    <wp:posOffset>228600</wp:posOffset>
                  </wp:positionV>
                  <wp:extent cx="552450" cy="592455"/>
                  <wp:effectExtent l="1905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srcRect/>
                          <a:stretch>
                            <a:fillRect/>
                          </a:stretch>
                        </pic:blipFill>
                        <pic:spPr bwMode="auto">
                          <a:xfrm>
                            <a:off x="0" y="0"/>
                            <a:ext cx="552450" cy="592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42836">
              <w:rPr>
                <w:noProof/>
              </w:rPr>
              <w:drawing>
                <wp:anchor distT="0" distB="0" distL="114300" distR="114300" simplePos="0" relativeHeight="251657216" behindDoc="0" locked="0" layoutInCell="1" allowOverlap="1">
                  <wp:simplePos x="0" y="0"/>
                  <wp:positionH relativeFrom="column">
                    <wp:posOffset>179705</wp:posOffset>
                  </wp:positionH>
                  <wp:positionV relativeFrom="paragraph">
                    <wp:posOffset>147955</wp:posOffset>
                  </wp:positionV>
                  <wp:extent cx="952500" cy="952500"/>
                  <wp:effectExtent l="19050" t="0" r="0" b="0"/>
                  <wp:wrapTight wrapText="bothSides">
                    <wp:wrapPolygon edited="0">
                      <wp:start x="-432" y="0"/>
                      <wp:lineTo x="-432" y="21168"/>
                      <wp:lineTo x="21600" y="21168"/>
                      <wp:lineTo x="21600" y="0"/>
                      <wp:lineTo x="-432" y="0"/>
                    </wp:wrapPolygon>
                  </wp:wrapTigh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3069FA">
              <w:rPr>
                <w:rFonts w:cs="Arial"/>
                <w:b/>
                <w:bCs/>
                <w:iCs/>
                <w:color w:val="0F243E"/>
                <w:sz w:val="28"/>
                <w:szCs w:val="26"/>
                <w:u w:val="single"/>
              </w:rPr>
              <w:br/>
            </w:r>
            <w:bookmarkStart w:id="0" w:name="_Toc337805170"/>
            <w:r w:rsidR="00342836">
              <w:rPr>
                <w:rFonts w:cs="Arial"/>
                <w:b/>
                <w:bCs/>
                <w:iCs/>
                <w:sz w:val="36"/>
                <w:szCs w:val="26"/>
                <w:u w:val="single"/>
              </w:rPr>
              <w:t>KFE2</w:t>
            </w:r>
            <w:bookmarkEnd w:id="0"/>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rPr>
                <w:b/>
                <w:bCs/>
                <w:szCs w:val="20"/>
              </w:rPr>
            </w:pPr>
            <w:r>
              <w:rPr>
                <w:b/>
                <w:bCs/>
                <w:szCs w:val="20"/>
              </w:rPr>
              <w:t>ACADÉMIE</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1665DB">
            <w:pPr>
              <w:ind w:left="0" w:right="0"/>
              <w:jc w:val="left"/>
              <w:rPr>
                <w:szCs w:val="20"/>
              </w:rPr>
            </w:pP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Auteur(s) / relecteur(s) </w:t>
            </w:r>
            <w:r>
              <w:rPr>
                <w:szCs w:val="20"/>
              </w:rPr>
              <w:t>:</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42836" w:rsidP="00342836">
            <w:pPr>
              <w:ind w:left="0" w:right="0"/>
              <w:jc w:val="left"/>
            </w:pPr>
            <w:r>
              <w:rPr>
                <w:szCs w:val="20"/>
              </w:rPr>
              <w:t>Rocher Catherine, Veyret Karine</w:t>
            </w:r>
            <w:r w:rsidR="003069FA">
              <w:rPr>
                <w:szCs w:val="20"/>
              </w:rPr>
              <w:t>&gt;+&lt;</w:t>
            </w:r>
            <w:r>
              <w:rPr>
                <w:szCs w:val="20"/>
              </w:rPr>
              <w:t>Bourgoin Jallieu</w:t>
            </w: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Mots-Clés </w:t>
            </w:r>
            <w:r>
              <w:rPr>
                <w:szCs w:val="20"/>
              </w:rPr>
              <w:t>:</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pPr>
              <w:ind w:left="0" w:right="0"/>
              <w:jc w:val="left"/>
            </w:pPr>
            <w:r>
              <w:rPr>
                <w:szCs w:val="20"/>
              </w:rPr>
              <w:t> </w:t>
            </w: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Description </w:t>
            </w:r>
            <w:r>
              <w:rPr>
                <w:szCs w:val="20"/>
              </w:rPr>
              <w:t>:</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7846E9" w:rsidP="007846E9">
            <w:pPr>
              <w:ind w:left="0" w:right="0"/>
              <w:jc w:val="left"/>
            </w:pPr>
            <w:r>
              <w:rPr>
                <w:szCs w:val="20"/>
              </w:rPr>
              <w:t xml:space="preserve">la </w:t>
            </w:r>
            <w:r w:rsidR="00342836">
              <w:rPr>
                <w:szCs w:val="20"/>
              </w:rPr>
              <w:t>SP</w:t>
            </w:r>
            <w:r>
              <w:rPr>
                <w:szCs w:val="20"/>
              </w:rPr>
              <w:t xml:space="preserve"> Kfe2</w:t>
            </w:r>
            <w:r w:rsidR="00342836">
              <w:rPr>
                <w:szCs w:val="20"/>
              </w:rPr>
              <w:t xml:space="preserve"> </w:t>
            </w:r>
            <w:r>
              <w:rPr>
                <w:szCs w:val="20"/>
              </w:rPr>
              <w:t>met en œuvre des travaux de gestion commerciale, comptable, fiscale et sociale et des travaux d'extraction et de retraitement de données issues de la BD Cegid dans un contexte de fin de la première année d'activité de la société. Les étudiants sont libres quant au partage des tâches mais doivent être capables d'accomplir toutes les missions confiées</w:t>
            </w: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spacing w:before="100" w:after="100"/>
              <w:ind w:left="0" w:right="0"/>
              <w:jc w:val="left"/>
            </w:pPr>
            <w:r>
              <w:rPr>
                <w:b/>
                <w:bCs/>
              </w:rPr>
              <w:t>Public visé</w:t>
            </w:r>
            <w:r>
              <w:t xml:space="preserve"> :</w:t>
            </w:r>
            <w:r>
              <w:br/>
              <w:t> </w:t>
            </w:r>
            <w:r>
              <w:br/>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42836" w:rsidP="00342836">
            <w:pPr>
              <w:ind w:left="0" w:right="0"/>
              <w:jc w:val="left"/>
            </w:pPr>
            <w:r>
              <w:rPr>
                <w:szCs w:val="20"/>
              </w:rPr>
              <w:t>BTS CG 2ème année (début)</w:t>
            </w: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Domaine </w:t>
            </w:r>
            <w:r>
              <w:rPr>
                <w:szCs w:val="20"/>
              </w:rPr>
              <w:t>:</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921F3E" w:rsidRDefault="00921F3E" w:rsidP="00342836">
            <w:pPr>
              <w:spacing w:line="276" w:lineRule="auto"/>
              <w:outlineLvl w:val="0"/>
            </w:pPr>
            <w:r>
              <w:t xml:space="preserve">pour le BTS-CG : </w:t>
            </w:r>
            <w:r w:rsidR="00342836" w:rsidRPr="002261FA">
              <w:rPr>
                <w:b/>
                <w:i/>
                <w:sz w:val="22"/>
                <w:szCs w:val="22"/>
              </w:rPr>
              <w:t>Processus 1</w:t>
            </w:r>
            <w:r w:rsidR="00342836">
              <w:rPr>
                <w:b/>
                <w:i/>
                <w:sz w:val="22"/>
                <w:szCs w:val="22"/>
              </w:rPr>
              <w:t xml:space="preserve"> (</w:t>
            </w:r>
            <w:r w:rsidR="00342836">
              <w:rPr>
                <w:i/>
                <w:sz w:val="22"/>
                <w:szCs w:val="22"/>
              </w:rPr>
              <w:t xml:space="preserve">121 122 131 </w:t>
            </w:r>
            <w:r w:rsidR="00342836" w:rsidRPr="008325F2">
              <w:rPr>
                <w:i/>
                <w:sz w:val="22"/>
                <w:szCs w:val="22"/>
              </w:rPr>
              <w:t>154 156 161 162</w:t>
            </w:r>
            <w:r w:rsidR="00342836">
              <w:rPr>
                <w:i/>
                <w:sz w:val="22"/>
                <w:szCs w:val="22"/>
              </w:rPr>
              <w:t> </w:t>
            </w:r>
            <w:r w:rsidR="00342836" w:rsidRPr="008325F2">
              <w:rPr>
                <w:i/>
                <w:sz w:val="22"/>
                <w:szCs w:val="22"/>
              </w:rPr>
              <w:t>163</w:t>
            </w:r>
            <w:r w:rsidR="00342836">
              <w:rPr>
                <w:i/>
                <w:sz w:val="22"/>
                <w:szCs w:val="22"/>
              </w:rPr>
              <w:t xml:space="preserve">), </w:t>
            </w:r>
            <w:r w:rsidR="00342836" w:rsidRPr="002261FA">
              <w:rPr>
                <w:b/>
                <w:i/>
                <w:sz w:val="22"/>
                <w:szCs w:val="22"/>
              </w:rPr>
              <w:t>Processus 2</w:t>
            </w:r>
            <w:r w:rsidR="00342836">
              <w:rPr>
                <w:b/>
                <w:i/>
                <w:sz w:val="22"/>
                <w:szCs w:val="22"/>
              </w:rPr>
              <w:t xml:space="preserve"> (</w:t>
            </w:r>
            <w:r w:rsidR="00342836" w:rsidRPr="008325F2">
              <w:rPr>
                <w:i/>
                <w:sz w:val="22"/>
                <w:szCs w:val="22"/>
              </w:rPr>
              <w:t>232</w:t>
            </w:r>
            <w:r w:rsidR="00342836">
              <w:rPr>
                <w:i/>
                <w:sz w:val="22"/>
                <w:szCs w:val="22"/>
              </w:rPr>
              <w:t xml:space="preserve"> 233) , </w:t>
            </w:r>
            <w:r w:rsidR="00342836" w:rsidRPr="002261FA">
              <w:rPr>
                <w:b/>
                <w:i/>
                <w:sz w:val="22"/>
                <w:szCs w:val="22"/>
              </w:rPr>
              <w:t xml:space="preserve">Processus </w:t>
            </w:r>
            <w:r w:rsidR="00342836">
              <w:rPr>
                <w:b/>
                <w:i/>
                <w:sz w:val="22"/>
                <w:szCs w:val="22"/>
              </w:rPr>
              <w:t>3 (</w:t>
            </w:r>
            <w:r w:rsidR="00342836" w:rsidRPr="008325F2">
              <w:rPr>
                <w:i/>
                <w:sz w:val="22"/>
                <w:szCs w:val="22"/>
              </w:rPr>
              <w:t>311 321 322 323</w:t>
            </w:r>
            <w:r w:rsidR="00342836">
              <w:rPr>
                <w:i/>
                <w:sz w:val="22"/>
                <w:szCs w:val="22"/>
              </w:rPr>
              <w:t> </w:t>
            </w:r>
            <w:r w:rsidR="00342836" w:rsidRPr="008325F2">
              <w:rPr>
                <w:i/>
                <w:sz w:val="22"/>
                <w:szCs w:val="22"/>
              </w:rPr>
              <w:t>324</w:t>
            </w:r>
            <w:r w:rsidR="00342836">
              <w:rPr>
                <w:i/>
                <w:sz w:val="22"/>
                <w:szCs w:val="22"/>
              </w:rPr>
              <w:t xml:space="preserve"> 332), </w:t>
            </w:r>
            <w:r w:rsidR="00342836" w:rsidRPr="002261FA">
              <w:rPr>
                <w:b/>
                <w:i/>
                <w:sz w:val="22"/>
                <w:szCs w:val="22"/>
              </w:rPr>
              <w:t>Processus 4</w:t>
            </w:r>
            <w:r w:rsidR="00342836">
              <w:rPr>
                <w:b/>
                <w:i/>
                <w:sz w:val="22"/>
                <w:szCs w:val="22"/>
              </w:rPr>
              <w:t>(</w:t>
            </w:r>
            <w:r w:rsidR="00342836" w:rsidRPr="008325F2">
              <w:rPr>
                <w:i/>
                <w:sz w:val="22"/>
                <w:szCs w:val="22"/>
              </w:rPr>
              <w:t>421 422 423 431 432 434</w:t>
            </w:r>
            <w:r w:rsidR="00342836">
              <w:rPr>
                <w:i/>
                <w:sz w:val="22"/>
                <w:szCs w:val="22"/>
              </w:rPr>
              <w:t xml:space="preserve">), </w:t>
            </w:r>
            <w:r w:rsidR="00342836" w:rsidRPr="002261FA">
              <w:rPr>
                <w:b/>
                <w:i/>
                <w:sz w:val="22"/>
                <w:szCs w:val="22"/>
              </w:rPr>
              <w:t>Processus 7</w:t>
            </w:r>
            <w:r w:rsidR="00342836">
              <w:rPr>
                <w:b/>
                <w:i/>
                <w:sz w:val="22"/>
                <w:szCs w:val="22"/>
              </w:rPr>
              <w:t xml:space="preserve"> (</w:t>
            </w:r>
            <w:r w:rsidR="00342836">
              <w:rPr>
                <w:i/>
                <w:sz w:val="22"/>
                <w:szCs w:val="22"/>
              </w:rPr>
              <w:t xml:space="preserve">711 713  731 </w:t>
            </w:r>
            <w:r w:rsidR="00342836" w:rsidRPr="008325F2">
              <w:rPr>
                <w:i/>
                <w:sz w:val="22"/>
                <w:szCs w:val="22"/>
              </w:rPr>
              <w:t>732</w:t>
            </w:r>
            <w:r w:rsidR="00342836">
              <w:rPr>
                <w:i/>
                <w:sz w:val="22"/>
                <w:szCs w:val="22"/>
              </w:rPr>
              <w:t xml:space="preserve"> 733)</w:t>
            </w: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ind w:left="0" w:right="0"/>
              <w:jc w:val="left"/>
            </w:pPr>
            <w:r>
              <w:rPr>
                <w:b/>
                <w:bCs/>
                <w:szCs w:val="20"/>
              </w:rPr>
              <w:t xml:space="preserve">Type de ressource : </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D15F8E" w:rsidP="00814960">
            <w:pPr>
              <w:ind w:left="0" w:right="0"/>
              <w:jc w:val="left"/>
            </w:pPr>
            <w:r>
              <w:t>sujet SP</w:t>
            </w:r>
            <w:r w:rsidR="007846E9">
              <w:t xml:space="preserve"> (kfe2.docx)</w:t>
            </w:r>
            <w:r>
              <w:t xml:space="preserve">, fichier Cegid étudiant (kfe2e.bak), </w:t>
            </w:r>
            <w:r w:rsidR="003069FA">
              <w:t>Mode</w:t>
            </w:r>
            <w:r w:rsidR="007846E9">
              <w:t>s</w:t>
            </w:r>
            <w:r w:rsidR="003069FA">
              <w:t xml:space="preserve"> opératoire</w:t>
            </w:r>
            <w:r w:rsidR="007846E9">
              <w:t>s Cegid (MO...)</w:t>
            </w:r>
            <w:r w:rsidR="00957ECF">
              <w:t>, fichier Cegid corrigé (kfe2p.bak)</w:t>
            </w:r>
          </w:p>
        </w:tc>
      </w:tr>
      <w:tr w:rsidR="001665DB" w:rsidRPr="0041534F">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spacing w:before="100" w:after="100"/>
              <w:ind w:left="0" w:right="0"/>
              <w:jc w:val="left"/>
            </w:pPr>
            <w:r>
              <w:rPr>
                <w:b/>
                <w:bCs/>
              </w:rPr>
              <w:t xml:space="preserve">Logiciel utilisé </w:t>
            </w:r>
            <w:r>
              <w:t>:</w:t>
            </w:r>
            <w:r>
              <w:br/>
            </w:r>
            <w:r>
              <w:rPr>
                <w:b/>
                <w:bCs/>
              </w:rPr>
              <w:t xml:space="preserve">Autres outils TIC </w:t>
            </w:r>
            <w:r>
              <w:t xml:space="preserve">: </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Pr="00814960" w:rsidRDefault="007846E9">
            <w:pPr>
              <w:ind w:left="0" w:right="0"/>
              <w:jc w:val="left"/>
              <w:rPr>
                <w:lang w:val="en-US"/>
              </w:rPr>
            </w:pPr>
            <w:r w:rsidRPr="00814960">
              <w:rPr>
                <w:szCs w:val="20"/>
                <w:lang w:val="en-US"/>
              </w:rPr>
              <w:t>Cegid V9 en web access sous SQL 2012, Excel, Word</w:t>
            </w:r>
            <w:r w:rsidR="003069FA" w:rsidRPr="00814960">
              <w:rPr>
                <w:szCs w:val="20"/>
                <w:lang w:val="en-US"/>
              </w:rPr>
              <w:br/>
              <w:t> </w:t>
            </w: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spacing w:before="100" w:after="100"/>
              <w:ind w:left="0" w:right="0"/>
              <w:jc w:val="left"/>
            </w:pPr>
            <w:r>
              <w:rPr>
                <w:b/>
                <w:bCs/>
              </w:rPr>
              <w:t>Cadre pédagogique,</w:t>
            </w:r>
            <w:r>
              <w:rPr>
                <w:b/>
                <w:bCs/>
              </w:rPr>
              <w:br/>
              <w:t>organisation pédagogique</w:t>
            </w:r>
            <w:r>
              <w:rPr>
                <w:b/>
                <w:bCs/>
              </w:rPr>
              <w:br/>
              <w:t>et conditions de déroulement</w:t>
            </w:r>
            <w:r>
              <w:t xml:space="preserve"> :</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7846E9" w:rsidP="007846E9">
            <w:pPr>
              <w:ind w:left="0" w:right="0"/>
              <w:jc w:val="left"/>
            </w:pPr>
            <w:bookmarkStart w:id="1" w:name="_GoBack"/>
            <w:bookmarkEnd w:id="1"/>
            <w:r>
              <w:rPr>
                <w:szCs w:val="20"/>
              </w:rPr>
              <w:t>Réalisé en AP:  4 séances de 4 heures. Une base de données pour un groupe de 3 étudiants</w:t>
            </w:r>
            <w:r w:rsidR="0041534F">
              <w:rPr>
                <w:szCs w:val="20"/>
              </w:rPr>
              <w:t>.</w:t>
            </w:r>
          </w:p>
        </w:tc>
      </w:tr>
      <w:tr w:rsidR="001665DB">
        <w:tc>
          <w:tcPr>
            <w:tcW w:w="2180"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rsidP="00921F3E">
            <w:pPr>
              <w:spacing w:before="100" w:after="100"/>
              <w:ind w:left="0" w:right="0"/>
              <w:jc w:val="left"/>
            </w:pPr>
            <w:r>
              <w:rPr>
                <w:b/>
                <w:bCs/>
              </w:rPr>
              <w:t xml:space="preserve">Fichier à télécharger :  </w:t>
            </w:r>
          </w:p>
        </w:tc>
        <w:tc>
          <w:tcPr>
            <w:tcW w:w="7442" w:type="dxa"/>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pPr>
              <w:ind w:left="0" w:right="0"/>
              <w:jc w:val="left"/>
            </w:pPr>
            <w:r>
              <w:rPr>
                <w:szCs w:val="20"/>
              </w:rPr>
              <w:t>{</w:t>
            </w:r>
            <w:r>
              <w:rPr>
                <w:i/>
                <w:iCs/>
                <w:szCs w:val="20"/>
              </w:rPr>
              <w:t>sauf cas impossible, deux fichiers à télécharger, un document "élève" et un "professeur" (éventuellement, zipper plusieurs sous-répertoires), les documents ont un même préfixe...</w:t>
            </w:r>
            <w:r>
              <w:rPr>
                <w:szCs w:val="20"/>
              </w:rPr>
              <w:t>}, sinon attention au nommage des fichiers*</w:t>
            </w:r>
          </w:p>
        </w:tc>
      </w:tr>
      <w:tr w:rsidR="001665DB">
        <w:tc>
          <w:tcPr>
            <w:tcW w:w="9622" w:type="dxa"/>
            <w:gridSpan w:val="2"/>
            <w:tcBorders>
              <w:top w:val="outset" w:sz="6" w:space="0" w:color="538135"/>
              <w:left w:val="outset" w:sz="6" w:space="0" w:color="538135"/>
              <w:bottom w:val="outset" w:sz="6" w:space="0" w:color="538135"/>
              <w:right w:val="outset" w:sz="6" w:space="0" w:color="538135"/>
            </w:tcBorders>
            <w:shd w:val="clear" w:color="auto" w:fill="E2EFD9"/>
            <w:tcMar>
              <w:top w:w="60" w:type="dxa"/>
              <w:left w:w="60" w:type="dxa"/>
              <w:bottom w:w="60" w:type="dxa"/>
              <w:right w:w="60" w:type="dxa"/>
            </w:tcMar>
            <w:vAlign w:val="center"/>
          </w:tcPr>
          <w:p w:rsidR="001665DB" w:rsidRDefault="003069FA">
            <w:pPr>
              <w:ind w:left="0" w:right="0"/>
            </w:pPr>
            <w:r>
              <w:rPr>
                <w:b/>
                <w:bCs/>
                <w:szCs w:val="20"/>
              </w:rPr>
              <w:t>Observations</w:t>
            </w:r>
            <w:r>
              <w:rPr>
                <w:szCs w:val="20"/>
              </w:rPr>
              <w:t xml:space="preserve"> :</w:t>
            </w:r>
          </w:p>
        </w:tc>
      </w:tr>
    </w:tbl>
    <w:p w:rsidR="001665DB" w:rsidRDefault="001665DB"/>
    <w:sectPr w:rsidR="001665DB" w:rsidSect="003B601E">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A5" w:rsidRDefault="00B277A5">
      <w:r>
        <w:separator/>
      </w:r>
    </w:p>
  </w:endnote>
  <w:endnote w:type="continuationSeparator" w:id="0">
    <w:p w:rsidR="00B277A5" w:rsidRDefault="00B2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A5" w:rsidRDefault="00B277A5">
      <w:r>
        <w:rPr>
          <w:color w:val="000000"/>
        </w:rPr>
        <w:separator/>
      </w:r>
    </w:p>
  </w:footnote>
  <w:footnote w:type="continuationSeparator" w:id="0">
    <w:p w:rsidR="00B277A5" w:rsidRDefault="00B2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5F8E"/>
    <w:rsid w:val="00046C9C"/>
    <w:rsid w:val="001665DB"/>
    <w:rsid w:val="00257B82"/>
    <w:rsid w:val="002F2637"/>
    <w:rsid w:val="003069FA"/>
    <w:rsid w:val="00342836"/>
    <w:rsid w:val="003B601E"/>
    <w:rsid w:val="0041534F"/>
    <w:rsid w:val="007846E9"/>
    <w:rsid w:val="00814960"/>
    <w:rsid w:val="00921F3E"/>
    <w:rsid w:val="00957ECF"/>
    <w:rsid w:val="00B277A5"/>
    <w:rsid w:val="00D15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32BF"/>
  <w15:docId w15:val="{1737EC7C-6497-4A1D-8B0C-19014A54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601E"/>
    <w:pPr>
      <w:suppressAutoHyphens/>
      <w:autoSpaceDN w:val="0"/>
      <w:ind w:left="284" w:right="284"/>
      <w:jc w:val="both"/>
      <w:textAlignment w:val="baseline"/>
    </w:pPr>
    <w:rPr>
      <w:rFonts w:ascii="Book Antiqua" w:hAnsi="Book Antiqua"/>
      <w:sz w:val="24"/>
      <w:szCs w:val="24"/>
    </w:rPr>
  </w:style>
  <w:style w:type="paragraph" w:styleId="Titre1">
    <w:name w:val="heading 1"/>
    <w:basedOn w:val="Normal"/>
    <w:next w:val="Normal"/>
    <w:rsid w:val="003B601E"/>
    <w:pPr>
      <w:keepNext/>
      <w:pBdr>
        <w:top w:val="double" w:sz="12" w:space="1" w:color="000080"/>
        <w:bottom w:val="double" w:sz="12" w:space="1" w:color="000080"/>
      </w:pBdr>
      <w:spacing w:before="240" w:after="240"/>
      <w:ind w:left="0" w:right="-1"/>
      <w:outlineLvl w:val="0"/>
    </w:pPr>
    <w:rPr>
      <w:rFonts w:ascii="Arial" w:hAnsi="Arial" w:cs="Arial"/>
      <w:b/>
      <w:bCs/>
      <w:color w:val="0000FF"/>
      <w:kern w:val="3"/>
      <w:sz w:val="36"/>
      <w:szCs w:val="32"/>
    </w:rPr>
  </w:style>
  <w:style w:type="paragraph" w:styleId="Titre2">
    <w:name w:val="heading 2"/>
    <w:basedOn w:val="Normal"/>
    <w:next w:val="Normal"/>
    <w:rsid w:val="003B601E"/>
    <w:pPr>
      <w:keepNext/>
      <w:pBdr>
        <w:bottom w:val="double" w:sz="12" w:space="1" w:color="000080"/>
      </w:pBdr>
      <w:spacing w:before="240" w:after="240"/>
      <w:ind w:left="0" w:right="0"/>
      <w:outlineLvl w:val="1"/>
    </w:pPr>
    <w:rPr>
      <w:rFonts w:ascii="Arial" w:hAnsi="Arial" w:cs="Arial"/>
      <w:b/>
      <w:bCs/>
      <w:i/>
      <w:iCs/>
      <w:color w:val="0000FF"/>
      <w:sz w:val="28"/>
      <w:szCs w:val="28"/>
    </w:rPr>
  </w:style>
  <w:style w:type="paragraph" w:styleId="Titre3">
    <w:name w:val="heading 3"/>
    <w:basedOn w:val="Normal"/>
    <w:next w:val="Normal"/>
    <w:rsid w:val="003B601E"/>
    <w:pPr>
      <w:keepNext/>
      <w:spacing w:before="240" w:after="120"/>
      <w:ind w:left="0" w:right="-1"/>
      <w:outlineLvl w:val="2"/>
    </w:pPr>
    <w:rPr>
      <w:rFonts w:ascii="Arial" w:hAnsi="Arial" w:cs="Arial"/>
      <w:b/>
      <w:bCs/>
      <w:color w:val="0000FF"/>
      <w:sz w:val="26"/>
      <w:szCs w:val="26"/>
      <w:u w:val="single" w:color="000080"/>
    </w:rPr>
  </w:style>
  <w:style w:type="paragraph" w:styleId="Titre4">
    <w:name w:val="heading 4"/>
    <w:basedOn w:val="Normal"/>
    <w:next w:val="Normal"/>
    <w:rsid w:val="003B601E"/>
    <w:pPr>
      <w:keepNext/>
      <w:spacing w:before="120" w:after="120"/>
      <w:ind w:left="0"/>
      <w:outlineLvl w:val="3"/>
    </w:pPr>
    <w:rPr>
      <w:b/>
      <w:bCs/>
      <w:color w:val="0000FF"/>
      <w:u w:val="single" w:color="000080"/>
    </w:rPr>
  </w:style>
  <w:style w:type="paragraph" w:styleId="Titre5">
    <w:name w:val="heading 5"/>
    <w:basedOn w:val="Normal"/>
    <w:next w:val="Normal"/>
    <w:rsid w:val="003B601E"/>
    <w:pPr>
      <w:keepNext/>
      <w:outlineLvl w:val="4"/>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601E"/>
    <w:pPr>
      <w:tabs>
        <w:tab w:val="center" w:pos="4536"/>
        <w:tab w:val="right" w:pos="9072"/>
      </w:tabs>
      <w:overflowPunct w:val="0"/>
      <w:autoSpaceDE w:val="0"/>
      <w:jc w:val="left"/>
    </w:pPr>
    <w:rPr>
      <w:sz w:val="20"/>
      <w:szCs w:val="20"/>
    </w:rPr>
  </w:style>
  <w:style w:type="paragraph" w:styleId="Pieddepage">
    <w:name w:val="footer"/>
    <w:basedOn w:val="Normal"/>
    <w:rsid w:val="003B601E"/>
    <w:pPr>
      <w:tabs>
        <w:tab w:val="center" w:pos="4536"/>
        <w:tab w:val="right" w:pos="9072"/>
      </w:tabs>
    </w:pPr>
  </w:style>
  <w:style w:type="character" w:styleId="Lienhypertexte">
    <w:name w:val="Hyperlink"/>
    <w:rsid w:val="003B601E"/>
    <w:rPr>
      <w:color w:val="0000FF"/>
      <w:u w:val="single"/>
    </w:rPr>
  </w:style>
  <w:style w:type="paragraph" w:customStyle="1" w:styleId="txt">
    <w:name w:val="txt"/>
    <w:basedOn w:val="Normal"/>
    <w:rsid w:val="003B601E"/>
    <w:pPr>
      <w:spacing w:before="100" w:after="100"/>
      <w:jc w:val="left"/>
    </w:pPr>
    <w:rPr>
      <w:rFonts w:ascii="Arial" w:hAnsi="Arial" w:cs="Arial"/>
      <w:color w:val="003366"/>
      <w:sz w:val="15"/>
      <w:szCs w:val="15"/>
    </w:rPr>
  </w:style>
  <w:style w:type="paragraph" w:customStyle="1" w:styleId="ref">
    <w:name w:val="ref"/>
    <w:basedOn w:val="Normal"/>
    <w:rsid w:val="003B601E"/>
    <w:pPr>
      <w:spacing w:before="100" w:after="100"/>
      <w:jc w:val="left"/>
    </w:pPr>
    <w:rPr>
      <w:rFonts w:ascii="Verdana" w:hAnsi="Verdana"/>
      <w:color w:val="003366"/>
      <w:sz w:val="16"/>
      <w:szCs w:val="16"/>
    </w:rPr>
  </w:style>
  <w:style w:type="character" w:styleId="Lienhypertextesuivivisit">
    <w:name w:val="FollowedHyperlink"/>
    <w:rsid w:val="003B601E"/>
    <w:rPr>
      <w:color w:val="800080"/>
      <w:u w:val="single"/>
    </w:rPr>
  </w:style>
  <w:style w:type="paragraph" w:styleId="Normalcentr">
    <w:name w:val="Block Text"/>
    <w:basedOn w:val="Normal"/>
    <w:rsid w:val="003B601E"/>
  </w:style>
  <w:style w:type="paragraph" w:styleId="Notedebasdepage">
    <w:name w:val="footnote text"/>
    <w:basedOn w:val="Normal"/>
    <w:rsid w:val="003B601E"/>
    <w:rPr>
      <w:szCs w:val="20"/>
    </w:rPr>
  </w:style>
  <w:style w:type="character" w:styleId="Numrodepage">
    <w:name w:val="page number"/>
    <w:basedOn w:val="Policepardfaut"/>
    <w:rsid w:val="003B601E"/>
  </w:style>
  <w:style w:type="paragraph" w:styleId="TM1">
    <w:name w:val="toc 1"/>
    <w:basedOn w:val="Normal"/>
    <w:next w:val="Normal"/>
    <w:autoRedefine/>
    <w:rsid w:val="003B601E"/>
    <w:pPr>
      <w:spacing w:before="120" w:after="60"/>
      <w:ind w:left="0"/>
      <w:jc w:val="left"/>
    </w:pPr>
    <w:rPr>
      <w:b/>
      <w:bCs/>
      <w:color w:val="0000FF"/>
      <w:u w:val="single"/>
    </w:rPr>
  </w:style>
  <w:style w:type="paragraph" w:styleId="TM2">
    <w:name w:val="toc 2"/>
    <w:basedOn w:val="Normal"/>
    <w:next w:val="Normal"/>
    <w:autoRedefine/>
    <w:rsid w:val="003B601E"/>
    <w:pPr>
      <w:spacing w:before="60" w:after="60"/>
      <w:jc w:val="left"/>
    </w:pPr>
    <w:rPr>
      <w:b/>
      <w:iCs/>
      <w:color w:val="0000FF"/>
    </w:rPr>
  </w:style>
  <w:style w:type="paragraph" w:styleId="TM3">
    <w:name w:val="toc 3"/>
    <w:basedOn w:val="Normal"/>
    <w:next w:val="Normal"/>
    <w:autoRedefine/>
    <w:rsid w:val="003B601E"/>
    <w:pPr>
      <w:spacing w:before="60"/>
      <w:ind w:left="397"/>
      <w:jc w:val="left"/>
    </w:pPr>
    <w:rPr>
      <w:color w:val="0000FF"/>
    </w:rPr>
  </w:style>
  <w:style w:type="paragraph" w:styleId="TM4">
    <w:name w:val="toc 4"/>
    <w:basedOn w:val="Normal"/>
    <w:next w:val="Normal"/>
    <w:autoRedefine/>
    <w:rsid w:val="003B601E"/>
    <w:pPr>
      <w:ind w:left="600"/>
      <w:jc w:val="left"/>
    </w:pPr>
    <w:rPr>
      <w:i/>
      <w:color w:val="0000FF"/>
    </w:rPr>
  </w:style>
  <w:style w:type="paragraph" w:styleId="TM5">
    <w:name w:val="toc 5"/>
    <w:basedOn w:val="Normal"/>
    <w:next w:val="Normal"/>
    <w:autoRedefine/>
    <w:rsid w:val="003B601E"/>
    <w:pPr>
      <w:ind w:left="800"/>
      <w:jc w:val="left"/>
    </w:pPr>
  </w:style>
  <w:style w:type="paragraph" w:styleId="TM6">
    <w:name w:val="toc 6"/>
    <w:basedOn w:val="Normal"/>
    <w:next w:val="Normal"/>
    <w:autoRedefine/>
    <w:rsid w:val="003B601E"/>
    <w:pPr>
      <w:ind w:left="1000"/>
      <w:jc w:val="left"/>
    </w:pPr>
    <w:rPr>
      <w:rFonts w:ascii="Times New Roman" w:hAnsi="Times New Roman"/>
    </w:rPr>
  </w:style>
  <w:style w:type="paragraph" w:styleId="TM7">
    <w:name w:val="toc 7"/>
    <w:basedOn w:val="Normal"/>
    <w:next w:val="Normal"/>
    <w:autoRedefine/>
    <w:rsid w:val="003B601E"/>
    <w:pPr>
      <w:ind w:left="120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AppData\Local\Temp\Temp1_FichePedaCrcfAcad%20-%20Copie.zip\FichePedaCrc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FichePedaCrcf.dot</Template>
  <TotalTime>20</TotalTime>
  <Pages>1</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Daniel Perrin Toinin</cp:lastModifiedBy>
  <cp:revision>4</cp:revision>
  <dcterms:created xsi:type="dcterms:W3CDTF">2016-01-03T12:59:00Z</dcterms:created>
  <dcterms:modified xsi:type="dcterms:W3CDTF">2016-01-12T21:43:00Z</dcterms:modified>
</cp:coreProperties>
</file>