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7F" w:rsidRPr="00DB7B3E" w:rsidRDefault="001D333F" w:rsidP="00E74231">
      <w:pPr>
        <w:spacing w:after="0" w:line="240" w:lineRule="auto"/>
        <w:jc w:val="center"/>
        <w:rPr>
          <w:b/>
          <w:color w:val="FFFFFF"/>
          <w:sz w:val="44"/>
          <w:szCs w:val="44"/>
          <w:highlight w:val="lightGray"/>
        </w:rPr>
      </w:pPr>
      <w:r w:rsidRPr="00DB7B3E">
        <w:rPr>
          <w:b/>
          <w:color w:val="FFFFFF"/>
          <w:sz w:val="44"/>
          <w:szCs w:val="44"/>
          <w:highlight w:val="lightGray"/>
        </w:rPr>
        <w:t>SUPPRESSIONS ELEMENTS DU REFERENTIEL BTS CGO</w:t>
      </w:r>
    </w:p>
    <w:p w:rsidR="00873AEA" w:rsidRDefault="00873AEA"/>
    <w:tbl>
      <w:tblPr>
        <w:tblStyle w:val="Grilledutableau"/>
        <w:tblW w:w="0" w:type="auto"/>
        <w:tblLook w:val="04A0"/>
      </w:tblPr>
      <w:tblGrid>
        <w:gridCol w:w="10173"/>
      </w:tblGrid>
      <w:tr w:rsidR="001D333F" w:rsidRPr="001D333F" w:rsidTr="00C05AF3">
        <w:tc>
          <w:tcPr>
            <w:tcW w:w="10173" w:type="dxa"/>
          </w:tcPr>
          <w:p w:rsidR="001D333F" w:rsidRPr="001D333F" w:rsidRDefault="001D333F" w:rsidP="0084471D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P2</w:t>
            </w:r>
            <w:r w:rsidRPr="001D333F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B72E74">
              <w:rPr>
                <w:color w:val="000000" w:themeColor="text1"/>
                <w:sz w:val="28"/>
                <w:szCs w:val="28"/>
              </w:rPr>
              <w:t>GESTION DES RELATIONS AVEC LES SALARIES ET LES ORGANISMES SOCIAUX</w:t>
            </w:r>
          </w:p>
        </w:tc>
      </w:tr>
      <w:tr w:rsidR="001D333F" w:rsidTr="00C05AF3">
        <w:tc>
          <w:tcPr>
            <w:tcW w:w="10173" w:type="dxa"/>
          </w:tcPr>
          <w:p w:rsidR="001D333F" w:rsidRDefault="00BB0191" w:rsidP="00563862">
            <w:pPr>
              <w:spacing w:before="120" w:after="40"/>
            </w:pPr>
            <w:r w:rsidRPr="00566919">
              <w:rPr>
                <w:highlight w:val="lightGray"/>
              </w:rPr>
              <w:t>2.2 - Pa</w:t>
            </w:r>
            <w:r w:rsidR="001D333F" w:rsidRPr="00566919">
              <w:rPr>
                <w:highlight w:val="lightGray"/>
              </w:rPr>
              <w:t>rticiper à la gestion du personnel</w:t>
            </w:r>
          </w:p>
          <w:p w:rsidR="00BB0191" w:rsidRDefault="003B7D57" w:rsidP="00563862">
            <w:pPr>
              <w:tabs>
                <w:tab w:val="left" w:pos="2977"/>
              </w:tabs>
              <w:spacing w:before="80" w:after="120"/>
              <w:ind w:left="425"/>
            </w:pPr>
            <w:r>
              <w:t>Compétences en organisation :</w:t>
            </w:r>
            <w:r w:rsidR="00B54B5D">
              <w:t xml:space="preserve"> </w:t>
            </w:r>
            <w:r w:rsidR="001D333F">
              <w:t xml:space="preserve">Assurer le </w:t>
            </w:r>
            <w:r w:rsidR="001D333F" w:rsidRPr="003B7D57">
              <w:rPr>
                <w:b/>
              </w:rPr>
              <w:t>suivi administratif d’une mission de travail temporaire</w:t>
            </w:r>
          </w:p>
        </w:tc>
      </w:tr>
    </w:tbl>
    <w:p w:rsidR="00563862" w:rsidRPr="00C05AF3" w:rsidRDefault="00563862" w:rsidP="001D333F"/>
    <w:tbl>
      <w:tblPr>
        <w:tblStyle w:val="Grilledutableau"/>
        <w:tblW w:w="0" w:type="auto"/>
        <w:tblLook w:val="04A0"/>
      </w:tblPr>
      <w:tblGrid>
        <w:gridCol w:w="10173"/>
      </w:tblGrid>
      <w:tr w:rsidR="001D333F" w:rsidRPr="001D333F" w:rsidTr="00C05AF3">
        <w:tc>
          <w:tcPr>
            <w:tcW w:w="10173" w:type="dxa"/>
          </w:tcPr>
          <w:p w:rsidR="001D333F" w:rsidRPr="001D333F" w:rsidRDefault="001D333F" w:rsidP="00B72E74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P3</w:t>
            </w:r>
            <w:r w:rsidRPr="001D333F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B72E74">
              <w:rPr>
                <w:color w:val="000000" w:themeColor="text1"/>
                <w:sz w:val="28"/>
                <w:szCs w:val="28"/>
              </w:rPr>
              <w:t>GESTION FISCALE ET RELATIONS AVEC L’ADMINISTRATION DES IMPOTS</w:t>
            </w:r>
          </w:p>
        </w:tc>
      </w:tr>
      <w:tr w:rsidR="001D333F" w:rsidTr="00C05AF3">
        <w:tc>
          <w:tcPr>
            <w:tcW w:w="10173" w:type="dxa"/>
          </w:tcPr>
          <w:p w:rsidR="00A75E23" w:rsidRDefault="00A75E23" w:rsidP="00563862">
            <w:pPr>
              <w:spacing w:before="120" w:after="120"/>
            </w:pPr>
            <w:r w:rsidRPr="00566919">
              <w:rPr>
                <w:highlight w:val="lightGray"/>
              </w:rPr>
              <w:t xml:space="preserve">3.4 - Réaliser et contrôler les travaux fiscaux relatifs à la </w:t>
            </w:r>
            <w:r w:rsidRPr="00566919">
              <w:rPr>
                <w:b/>
                <w:highlight w:val="lightGray"/>
              </w:rPr>
              <w:t>TVA</w:t>
            </w:r>
            <w:r w:rsidRPr="00566919">
              <w:rPr>
                <w:highlight w:val="lightGray"/>
              </w:rPr>
              <w:t>…</w:t>
            </w:r>
            <w:r w:rsidR="00C80C79" w:rsidRPr="00566919">
              <w:rPr>
                <w:highlight w:val="lightGray"/>
              </w:rPr>
              <w:t xml:space="preserve"> à la liquidation et au paiement de l’</w:t>
            </w:r>
            <w:r w:rsidR="00C80C79" w:rsidRPr="00566919">
              <w:rPr>
                <w:b/>
                <w:highlight w:val="lightGray"/>
              </w:rPr>
              <w:t>IS</w:t>
            </w:r>
            <w:r w:rsidR="00C80C79" w:rsidRPr="00566919">
              <w:rPr>
                <w:highlight w:val="lightGray"/>
              </w:rPr>
              <w:t> :</w:t>
            </w:r>
          </w:p>
          <w:p w:rsidR="00A75E23" w:rsidRPr="003C3DD8" w:rsidRDefault="00A75E23" w:rsidP="00F51759">
            <w:pPr>
              <w:tabs>
                <w:tab w:val="left" w:pos="2977"/>
                <w:tab w:val="left" w:pos="3119"/>
              </w:tabs>
              <w:spacing w:after="0"/>
              <w:ind w:left="425" w:hanging="425"/>
              <w:jc w:val="both"/>
            </w:pPr>
            <w:r>
              <w:tab/>
              <w:t>Connaissances techniques :</w:t>
            </w:r>
            <w:r w:rsidR="00C80C79">
              <w:tab/>
            </w:r>
            <w:r w:rsidR="003C3DD8">
              <w:t>-</w:t>
            </w:r>
            <w:r w:rsidR="00C80C79">
              <w:t xml:space="preserve"> </w:t>
            </w:r>
            <w:r>
              <w:t xml:space="preserve">les modalités d’établissement des déclarations y compris la </w:t>
            </w:r>
            <w:r w:rsidRPr="00A75E23">
              <w:rPr>
                <w:b/>
              </w:rPr>
              <w:t xml:space="preserve">déclaration </w:t>
            </w:r>
            <w:r w:rsidRPr="00A75E23">
              <w:rPr>
                <w:b/>
              </w:rPr>
              <w:tab/>
              <w:t xml:space="preserve"> </w:t>
            </w:r>
            <w:r w:rsidR="003C3DD8">
              <w:rPr>
                <w:b/>
              </w:rPr>
              <w:tab/>
            </w:r>
            <w:r w:rsidR="00F51759">
              <w:rPr>
                <w:b/>
              </w:rPr>
              <w:tab/>
            </w:r>
            <w:r w:rsidRPr="00A75E23">
              <w:rPr>
                <w:b/>
              </w:rPr>
              <w:t>d’échanges de biens</w:t>
            </w:r>
            <w:r w:rsidR="003C3DD8">
              <w:t xml:space="preserve"> (</w:t>
            </w:r>
            <w:r w:rsidR="003C3DD8" w:rsidRPr="00873AEA">
              <w:rPr>
                <w:b/>
                <w:color w:val="C00000"/>
              </w:rPr>
              <w:t>à confirmer</w:t>
            </w:r>
            <w:r w:rsidR="001A2B30">
              <w:rPr>
                <w:b/>
                <w:color w:val="C00000"/>
              </w:rPr>
              <w:t xml:space="preserve"> </w:t>
            </w:r>
            <w:r w:rsidR="003C3DD8">
              <w:t>!)</w:t>
            </w:r>
          </w:p>
          <w:p w:rsidR="001D333F" w:rsidRDefault="00C80C79" w:rsidP="00563862">
            <w:pPr>
              <w:tabs>
                <w:tab w:val="left" w:pos="2977"/>
              </w:tabs>
              <w:spacing w:after="120"/>
            </w:pPr>
            <w:r>
              <w:tab/>
            </w:r>
            <w:r w:rsidR="003C3DD8">
              <w:t>-</w:t>
            </w:r>
            <w:r>
              <w:t xml:space="preserve"> le </w:t>
            </w:r>
            <w:r w:rsidRPr="00C80C79">
              <w:rPr>
                <w:b/>
              </w:rPr>
              <w:t>report des déficits en arrière</w:t>
            </w:r>
            <w:r>
              <w:t xml:space="preserve"> </w:t>
            </w:r>
            <w:r w:rsidR="001D333F">
              <w:t>(le bénéfice d’imputation étant fourni)</w:t>
            </w:r>
          </w:p>
        </w:tc>
      </w:tr>
    </w:tbl>
    <w:p w:rsidR="00563862" w:rsidRPr="00C05AF3" w:rsidRDefault="00563862" w:rsidP="001D333F"/>
    <w:tbl>
      <w:tblPr>
        <w:tblStyle w:val="Grilledutableau"/>
        <w:tblW w:w="0" w:type="auto"/>
        <w:tblLook w:val="04A0"/>
      </w:tblPr>
      <w:tblGrid>
        <w:gridCol w:w="10173"/>
      </w:tblGrid>
      <w:tr w:rsidR="00B72E74" w:rsidRPr="001D333F" w:rsidTr="00C05AF3">
        <w:tc>
          <w:tcPr>
            <w:tcW w:w="10173" w:type="dxa"/>
          </w:tcPr>
          <w:p w:rsidR="00B72E74" w:rsidRPr="001D333F" w:rsidRDefault="00B72E74" w:rsidP="00B72E74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P5</w:t>
            </w:r>
            <w:r w:rsidRPr="001D333F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GESTION DES IMMOBILISATIONS ET DES INVESTISSEMENTS</w:t>
            </w:r>
          </w:p>
        </w:tc>
      </w:tr>
      <w:tr w:rsidR="00B72E74" w:rsidTr="00C05AF3">
        <w:tc>
          <w:tcPr>
            <w:tcW w:w="10173" w:type="dxa"/>
          </w:tcPr>
          <w:p w:rsidR="00B72E74" w:rsidRDefault="00B72E74" w:rsidP="0084471D"/>
        </w:tc>
      </w:tr>
    </w:tbl>
    <w:p w:rsidR="00563862" w:rsidRPr="00C05AF3" w:rsidRDefault="00563862" w:rsidP="00563862"/>
    <w:tbl>
      <w:tblPr>
        <w:tblStyle w:val="Grilledutableau"/>
        <w:tblW w:w="0" w:type="auto"/>
        <w:tblLook w:val="04A0"/>
      </w:tblPr>
      <w:tblGrid>
        <w:gridCol w:w="10173"/>
      </w:tblGrid>
      <w:tr w:rsidR="00563862" w:rsidRPr="001D333F" w:rsidTr="00C05AF3">
        <w:tc>
          <w:tcPr>
            <w:tcW w:w="10173" w:type="dxa"/>
          </w:tcPr>
          <w:p w:rsidR="00563862" w:rsidRPr="001D333F" w:rsidRDefault="00563862" w:rsidP="002C07A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P6</w:t>
            </w:r>
            <w:r w:rsidRPr="001D333F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GESTION DE LA TRESORERIE ET DU FINANCEMENT</w:t>
            </w:r>
          </w:p>
        </w:tc>
      </w:tr>
      <w:tr w:rsidR="00563862" w:rsidTr="000D2BED">
        <w:tc>
          <w:tcPr>
            <w:tcW w:w="10173" w:type="dxa"/>
            <w:vAlign w:val="center"/>
          </w:tcPr>
          <w:p w:rsidR="00372D2A" w:rsidRDefault="00372D2A" w:rsidP="00372D2A">
            <w:pPr>
              <w:spacing w:after="0" w:line="240" w:lineRule="auto"/>
            </w:pPr>
            <w:r w:rsidRPr="00372D2A">
              <w:rPr>
                <w:highlight w:val="lightGray"/>
              </w:rPr>
              <w:t>6.2. Participer à la détermination de besoins de financement particuliers liés aux situations de création, de croissance, de défaillance</w:t>
            </w:r>
          </w:p>
          <w:p w:rsidR="00563862" w:rsidRDefault="00372D2A" w:rsidP="000D2BED">
            <w:pPr>
              <w:spacing w:before="100" w:after="100"/>
            </w:pPr>
            <w:r>
              <w:t>Connaissances techniques :</w:t>
            </w:r>
            <w:r>
              <w:tab/>
              <w:t xml:space="preserve">- </w:t>
            </w:r>
            <w:r w:rsidR="00563862">
              <w:t>Le fonds de roulement normatif</w:t>
            </w:r>
          </w:p>
        </w:tc>
      </w:tr>
    </w:tbl>
    <w:p w:rsidR="00563862" w:rsidRPr="00C05AF3" w:rsidRDefault="00563862" w:rsidP="00563862"/>
    <w:tbl>
      <w:tblPr>
        <w:tblStyle w:val="Grilledutableau"/>
        <w:tblW w:w="0" w:type="auto"/>
        <w:tblLook w:val="04A0"/>
      </w:tblPr>
      <w:tblGrid>
        <w:gridCol w:w="10173"/>
      </w:tblGrid>
      <w:tr w:rsidR="00563862" w:rsidRPr="001D333F" w:rsidTr="00C05AF3">
        <w:tc>
          <w:tcPr>
            <w:tcW w:w="10173" w:type="dxa"/>
          </w:tcPr>
          <w:p w:rsidR="00563862" w:rsidRPr="001D333F" w:rsidRDefault="00563862" w:rsidP="002C07A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P7</w:t>
            </w:r>
            <w:r w:rsidRPr="001D333F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DETERMINATION ET ANALYSE DES COUTS</w:t>
            </w:r>
          </w:p>
        </w:tc>
      </w:tr>
      <w:tr w:rsidR="00563862" w:rsidTr="00C05AF3">
        <w:tc>
          <w:tcPr>
            <w:tcW w:w="10173" w:type="dxa"/>
          </w:tcPr>
          <w:p w:rsidR="004D1926" w:rsidRPr="004D1926" w:rsidRDefault="004D1926" w:rsidP="004D1926">
            <w:pPr>
              <w:spacing w:after="0" w:line="240" w:lineRule="auto"/>
            </w:pPr>
            <w:r w:rsidRPr="004D1926">
              <w:rPr>
                <w:highlight w:val="lightGray"/>
              </w:rPr>
              <w:t>7.2. Mettre en œuvre différents modèles de calcul de coûts</w:t>
            </w:r>
            <w:r w:rsidRPr="004D1926">
              <w:t xml:space="preserve"> </w:t>
            </w:r>
          </w:p>
          <w:p w:rsidR="00563862" w:rsidRDefault="004D1926" w:rsidP="002C07AE">
            <w:pPr>
              <w:spacing w:before="120" w:after="120"/>
            </w:pPr>
            <w:r>
              <w:t>Connaissances techniques :</w:t>
            </w:r>
            <w:r>
              <w:tab/>
            </w:r>
            <w:r w:rsidR="00563862">
              <w:t xml:space="preserve">- L’articulation entre la comptabilité de gestion et la comptabilité financière </w:t>
            </w:r>
            <w:r w:rsidR="00DB7B3E">
              <w:br/>
              <w:t xml:space="preserve">                                                           </w:t>
            </w:r>
            <w:r w:rsidR="00563862">
              <w:t>(concordance)</w:t>
            </w:r>
          </w:p>
          <w:p w:rsidR="00563862" w:rsidRDefault="004D1926" w:rsidP="002C07AE">
            <w:pPr>
              <w:spacing w:before="120" w:after="120"/>
            </w:pPr>
            <w:r>
              <w:t>Limites de connaissances :</w:t>
            </w:r>
            <w:r>
              <w:tab/>
              <w:t xml:space="preserve">- </w:t>
            </w:r>
            <w:r w:rsidR="00563862">
              <w:t xml:space="preserve">Les prestations </w:t>
            </w:r>
            <w:r>
              <w:t>croisées se limitent à deux centres.</w:t>
            </w:r>
          </w:p>
        </w:tc>
      </w:tr>
    </w:tbl>
    <w:p w:rsidR="00563862" w:rsidRPr="00C05AF3" w:rsidRDefault="00563862" w:rsidP="007B1F09"/>
    <w:tbl>
      <w:tblPr>
        <w:tblStyle w:val="Grilledutableau"/>
        <w:tblW w:w="0" w:type="auto"/>
        <w:tblLook w:val="04A0"/>
      </w:tblPr>
      <w:tblGrid>
        <w:gridCol w:w="10173"/>
      </w:tblGrid>
      <w:tr w:rsidR="00563862" w:rsidRPr="001D333F" w:rsidTr="00C05AF3">
        <w:tc>
          <w:tcPr>
            <w:tcW w:w="10173" w:type="dxa"/>
          </w:tcPr>
          <w:p w:rsidR="00563862" w:rsidRPr="001D333F" w:rsidRDefault="00563862" w:rsidP="002C07A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P8</w:t>
            </w:r>
            <w:r w:rsidRPr="001D333F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PREVISION ET GESTION BUDGETAIRE</w:t>
            </w:r>
          </w:p>
        </w:tc>
      </w:tr>
      <w:tr w:rsidR="00563862" w:rsidTr="00C05AF3">
        <w:tc>
          <w:tcPr>
            <w:tcW w:w="10173" w:type="dxa"/>
          </w:tcPr>
          <w:p w:rsidR="004D1926" w:rsidRPr="004D1926" w:rsidRDefault="004D1926" w:rsidP="004D1926">
            <w:pPr>
              <w:spacing w:after="0" w:line="240" w:lineRule="auto"/>
              <w:rPr>
                <w:highlight w:val="lightGray"/>
              </w:rPr>
            </w:pPr>
            <w:r w:rsidRPr="004D1926">
              <w:rPr>
                <w:highlight w:val="lightGray"/>
              </w:rPr>
              <w:t>8.2. Participer à l’élaboration de coûts préétablis</w:t>
            </w:r>
          </w:p>
          <w:p w:rsidR="00563862" w:rsidRDefault="00263164" w:rsidP="002C07AE">
            <w:pPr>
              <w:spacing w:before="120" w:after="120"/>
            </w:pPr>
            <w:r>
              <w:t>Connaissances techniques :</w:t>
            </w:r>
            <w:r>
              <w:tab/>
              <w:t xml:space="preserve">- </w:t>
            </w:r>
            <w:r w:rsidR="00563862">
              <w:t>Le budget flexible</w:t>
            </w:r>
          </w:p>
          <w:p w:rsidR="00263164" w:rsidRPr="00263164" w:rsidRDefault="00263164" w:rsidP="00263164">
            <w:pPr>
              <w:spacing w:after="0" w:line="240" w:lineRule="auto"/>
              <w:rPr>
                <w:highlight w:val="lightGray"/>
              </w:rPr>
            </w:pPr>
            <w:r w:rsidRPr="00263164">
              <w:rPr>
                <w:highlight w:val="lightGray"/>
              </w:rPr>
              <w:t>8.3. Participer à l’établissement des budgets</w:t>
            </w:r>
          </w:p>
          <w:p w:rsidR="00263164" w:rsidRDefault="00263164" w:rsidP="002C07AE">
            <w:pPr>
              <w:spacing w:before="120" w:after="120"/>
            </w:pPr>
            <w:r>
              <w:t>Compétences techniques :</w:t>
            </w:r>
          </w:p>
          <w:p w:rsidR="00263164" w:rsidRPr="00263164" w:rsidRDefault="00263164" w:rsidP="00263164">
            <w:pPr>
              <w:spacing w:after="0" w:line="240" w:lineRule="auto"/>
            </w:pPr>
            <w:r w:rsidRPr="00263164">
              <w:t xml:space="preserve">Les techniques d’élaboration des budgets : </w:t>
            </w:r>
          </w:p>
          <w:p w:rsidR="00263164" w:rsidRPr="00263164" w:rsidRDefault="00263164" w:rsidP="00263164">
            <w:pPr>
              <w:spacing w:after="0" w:line="240" w:lineRule="auto"/>
            </w:pPr>
            <w:r w:rsidRPr="00263164">
              <w:t xml:space="preserve">- l’application des principes de la programmation linéaire à la recherche d’un optimum ; </w:t>
            </w:r>
          </w:p>
          <w:p w:rsidR="00263164" w:rsidRDefault="00263164" w:rsidP="00263164">
            <w:pPr>
              <w:spacing w:after="0" w:line="240" w:lineRule="auto"/>
            </w:pPr>
            <w:r w:rsidRPr="00263164">
              <w:t xml:space="preserve">- l’interprétation des résultats. </w:t>
            </w:r>
          </w:p>
          <w:p w:rsidR="00DB7B3E" w:rsidRPr="00263164" w:rsidRDefault="00DB7B3E" w:rsidP="00263164">
            <w:pPr>
              <w:spacing w:after="0" w:line="240" w:lineRule="auto"/>
            </w:pPr>
          </w:p>
          <w:p w:rsidR="00563862" w:rsidRDefault="00263164" w:rsidP="00DB7B3E">
            <w:pPr>
              <w:spacing w:after="0" w:line="240" w:lineRule="auto"/>
            </w:pPr>
            <w:r w:rsidRPr="00263164">
              <w:t xml:space="preserve">La gestion des approvisionnements et des stocks de matières et produits finis : </w:t>
            </w:r>
          </w:p>
        </w:tc>
      </w:tr>
    </w:tbl>
    <w:p w:rsidR="00563862" w:rsidRPr="00C05AF3" w:rsidRDefault="00563862" w:rsidP="00563862"/>
    <w:tbl>
      <w:tblPr>
        <w:tblStyle w:val="Grilledutableau"/>
        <w:tblW w:w="0" w:type="auto"/>
        <w:tblLook w:val="04A0"/>
      </w:tblPr>
      <w:tblGrid>
        <w:gridCol w:w="10173"/>
      </w:tblGrid>
      <w:tr w:rsidR="00563862" w:rsidRPr="001D333F" w:rsidTr="00C05AF3">
        <w:tc>
          <w:tcPr>
            <w:tcW w:w="10173" w:type="dxa"/>
          </w:tcPr>
          <w:p w:rsidR="00563862" w:rsidRPr="001D333F" w:rsidRDefault="00563862" w:rsidP="002C07A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P9</w:t>
            </w:r>
            <w:r w:rsidRPr="001D333F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MESURE ET ANALYSE DE LA PERFORMANCE</w:t>
            </w:r>
          </w:p>
        </w:tc>
      </w:tr>
      <w:tr w:rsidR="00563862" w:rsidTr="00C05AF3">
        <w:tc>
          <w:tcPr>
            <w:tcW w:w="10173" w:type="dxa"/>
          </w:tcPr>
          <w:p w:rsidR="00563862" w:rsidRDefault="00563862" w:rsidP="002C07AE"/>
        </w:tc>
      </w:tr>
    </w:tbl>
    <w:p w:rsidR="00563862" w:rsidRPr="00C05AF3" w:rsidRDefault="00563862" w:rsidP="00563862"/>
    <w:tbl>
      <w:tblPr>
        <w:tblStyle w:val="Grilledutableau"/>
        <w:tblW w:w="0" w:type="auto"/>
        <w:tblLook w:val="04A0"/>
      </w:tblPr>
      <w:tblGrid>
        <w:gridCol w:w="10173"/>
      </w:tblGrid>
      <w:tr w:rsidR="00563862" w:rsidRPr="001D333F" w:rsidTr="00C05AF3">
        <w:tc>
          <w:tcPr>
            <w:tcW w:w="10173" w:type="dxa"/>
          </w:tcPr>
          <w:p w:rsidR="00563862" w:rsidRPr="001D333F" w:rsidRDefault="00563862" w:rsidP="002C07A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P10</w:t>
            </w:r>
            <w:r w:rsidRPr="001D333F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ORGANISATION DU SYSTEME D’INFORMATION COMPTABLE ET DE GESTION</w:t>
            </w:r>
          </w:p>
        </w:tc>
      </w:tr>
      <w:tr w:rsidR="00563862" w:rsidTr="00C05AF3">
        <w:tc>
          <w:tcPr>
            <w:tcW w:w="10173" w:type="dxa"/>
          </w:tcPr>
          <w:p w:rsidR="00563862" w:rsidRDefault="00563862" w:rsidP="002C07AE"/>
        </w:tc>
      </w:tr>
    </w:tbl>
    <w:p w:rsidR="00563862" w:rsidRPr="005B6F86" w:rsidRDefault="00563862" w:rsidP="00E74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</w:p>
    <w:sectPr w:rsidR="00563862" w:rsidRPr="005B6F86" w:rsidSect="00C05AF3">
      <w:pgSz w:w="11906" w:h="16838" w:code="9"/>
      <w:pgMar w:top="851" w:right="851" w:bottom="851" w:left="851" w:header="737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D333F"/>
    <w:rsid w:val="000D2BED"/>
    <w:rsid w:val="001A2B30"/>
    <w:rsid w:val="001D333F"/>
    <w:rsid w:val="00216BBE"/>
    <w:rsid w:val="00263164"/>
    <w:rsid w:val="00290B37"/>
    <w:rsid w:val="002916FE"/>
    <w:rsid w:val="00343ED1"/>
    <w:rsid w:val="00372D2A"/>
    <w:rsid w:val="00382142"/>
    <w:rsid w:val="003B7D57"/>
    <w:rsid w:val="003C3DD8"/>
    <w:rsid w:val="004D1926"/>
    <w:rsid w:val="00527CEF"/>
    <w:rsid w:val="00537A89"/>
    <w:rsid w:val="00563862"/>
    <w:rsid w:val="00566919"/>
    <w:rsid w:val="005A1ACE"/>
    <w:rsid w:val="005A4DF9"/>
    <w:rsid w:val="005B6F86"/>
    <w:rsid w:val="00643A03"/>
    <w:rsid w:val="006D1B8F"/>
    <w:rsid w:val="00796742"/>
    <w:rsid w:val="007B1F09"/>
    <w:rsid w:val="008247B1"/>
    <w:rsid w:val="00873AEA"/>
    <w:rsid w:val="008E0568"/>
    <w:rsid w:val="00915956"/>
    <w:rsid w:val="009C64B1"/>
    <w:rsid w:val="00A05E90"/>
    <w:rsid w:val="00A35095"/>
    <w:rsid w:val="00A75E23"/>
    <w:rsid w:val="00B54B5D"/>
    <w:rsid w:val="00B72E74"/>
    <w:rsid w:val="00BB0191"/>
    <w:rsid w:val="00BC53A2"/>
    <w:rsid w:val="00C00EEC"/>
    <w:rsid w:val="00C05AF3"/>
    <w:rsid w:val="00C80C79"/>
    <w:rsid w:val="00CC57C5"/>
    <w:rsid w:val="00CE4CF6"/>
    <w:rsid w:val="00DB461C"/>
    <w:rsid w:val="00DB7B3E"/>
    <w:rsid w:val="00DE6F7E"/>
    <w:rsid w:val="00E15EAE"/>
    <w:rsid w:val="00E23F3F"/>
    <w:rsid w:val="00E74231"/>
    <w:rsid w:val="00EE6263"/>
    <w:rsid w:val="00F312E8"/>
    <w:rsid w:val="00F5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-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3F"/>
    <w:pPr>
      <w:spacing w:after="200" w:line="276" w:lineRule="auto"/>
      <w:ind w:right="0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BESSIERE</dc:creator>
  <cp:lastModifiedBy>Stéphane BESSIERE</cp:lastModifiedBy>
  <cp:revision>7</cp:revision>
  <dcterms:created xsi:type="dcterms:W3CDTF">2015-01-19T08:21:00Z</dcterms:created>
  <dcterms:modified xsi:type="dcterms:W3CDTF">2015-01-19T09:58:00Z</dcterms:modified>
</cp:coreProperties>
</file>